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1cd614046f98b5f6ff7c21ad031c64694768d3b"/>
    <w:p>
      <w:pPr>
        <w:pStyle w:val="Heading1"/>
      </w:pPr>
      <w:r>
        <w:t xml:space="preserve">Acute Mesenteric Ischaemia: Clinical Timeline-Based Narrative</w:t>
      </w:r>
    </w:p>
    <w:bookmarkStart w:id="9" w:name="X6bc99c8a6a70ce1100058f75a50e320a3c8a9ac"/>
    <w:p>
      <w:pPr>
        <w:pStyle w:val="Heading2"/>
      </w:pPr>
      <w:r>
        <w:t xml:space="preserve">Master Case Study: The</w:t>
      </w:r>
      <w:r>
        <w:t xml:space="preserve"> </w:t>
      </w:r>
      <w:r>
        <w:t xml:space="preserve">“Pain Out of Proportion”</w:t>
      </w:r>
      <w:r>
        <w:t xml:space="preserve"> </w:t>
      </w:r>
      <w:r>
        <w:t xml:space="preserve">Presentation</w:t>
      </w:r>
    </w:p>
    <w:p>
      <w:pPr>
        <w:pStyle w:val="FirstParagraph"/>
      </w:pPr>
      <w:r>
        <w:rPr>
          <w:b/>
          <w:bCs/>
        </w:rPr>
        <w:t xml:space="preserve">Triage (08:00):</w:t>
      </w:r>
      <w:r>
        <w:t xml:space="preserve"> </w:t>
      </w:r>
      <w:r>
        <w:t xml:space="preserve">An 82-year-old male presents to the Emergency Department with sudden-onset, generalized abdominal pain that started two hours ago. He describes the pain as</w:t>
      </w:r>
      <w:r>
        <w:t xml:space="preserve"> </w:t>
      </w:r>
      <w:r>
        <w:t xml:space="preserve">“the worst I’ve ever felt,”</w:t>
      </w:r>
      <w:r>
        <w:t xml:space="preserve"> </w:t>
      </w:r>
      <w:r>
        <w:t xml:space="preserve">constant, and 10/10 in severity. He has a history of permanent atrial fibrillation (non-compliant with anticoagulation), hypertension, and peripheral vascular disease. On arrival, he is tachycardic (HR 115 bpm) and appears distressed, but his abdomen is soft and non-tender to palpation.</w:t>
      </w:r>
    </w:p>
    <w:p>
      <w:pPr>
        <w:pStyle w:val="BodyText"/>
      </w:pPr>
      <w:r>
        <w:rPr>
          <w:b/>
          <w:bCs/>
        </w:rPr>
        <w:t xml:space="preserve">Initial Assessment (08:30):</w:t>
      </w:r>
      <w:r>
        <w:t xml:space="preserve"> </w:t>
      </w:r>
      <w:r>
        <w:t xml:space="preserve">The patient reports significant weight loss over the last six months because he is</w:t>
      </w:r>
      <w:r>
        <w:t xml:space="preserve"> </w:t>
      </w:r>
      <w:r>
        <w:t xml:space="preserve">“afraid to eat”</w:t>
      </w:r>
      <w:r>
        <w:t xml:space="preserve"> </w:t>
      </w:r>
      <w:r>
        <w:t xml:space="preserve">(food fear) due to post-prandial cramping. Initial labs show a normal white cell count but a rising lactate (3.2 mmol/L).</w:t>
      </w:r>
    </w:p>
    <w:p>
      <w:pPr>
        <w:pStyle w:val="BodyText"/>
      </w:pPr>
      <w:r>
        <w:rPr>
          <w:b/>
          <w:bCs/>
        </w:rPr>
        <w:t xml:space="preserve">Diagnostic Decision Making (09:30):</w:t>
      </w:r>
      <w:r>
        <w:t xml:space="preserve"> </w:t>
      </w:r>
      <w:r>
        <w:t xml:space="preserve">Given the</w:t>
      </w:r>
      <w:r>
        <w:t xml:space="preserve"> </w:t>
      </w:r>
      <w:r>
        <w:t xml:space="preserve">“pain out of proportion to physical findings”</w:t>
      </w:r>
      <w:r>
        <w:t xml:space="preserve"> </w:t>
      </w:r>
      <w:r>
        <w:t xml:space="preserve">and the history of AFib, the surgical team is consulted. A CT Angiography (CTA) of the abdomen and pelvis is performed. The scan reveals a filling defect in the proximal Superior Mesenteric Artery (SMA), consistent with an embolic occlusion. There is no evidence of bowel wall pneumatosis yet, but some loops of small bowel show reduced enhancement.</w:t>
      </w:r>
    </w:p>
    <w:p>
      <w:pPr>
        <w:pStyle w:val="BodyText"/>
      </w:pPr>
      <w:r>
        <w:rPr>
          <w:b/>
          <w:bCs/>
        </w:rPr>
        <w:t xml:space="preserve">Acute Management (10:00):</w:t>
      </w:r>
      <w:r>
        <w:t xml:space="preserve"> </w:t>
      </w:r>
      <w:r>
        <w:t xml:space="preserve">The patient is started on an Unfractionated Heparin (UFH) bolus and infusion. Fluid resuscitation with balanced crystalloids is initiated. Empirical broad-spectrum antibiotics (Piperacillin/Tazobactam) are administered.</w:t>
      </w:r>
    </w:p>
    <w:p>
      <w:pPr>
        <w:pStyle w:val="BodyText"/>
      </w:pPr>
      <w:r>
        <w:rPr>
          <w:b/>
          <w:bCs/>
        </w:rPr>
        <w:t xml:space="preserve">Definitive Care (11:30):</w:t>
      </w:r>
      <w:r>
        <w:t xml:space="preserve"> </w:t>
      </w:r>
      <w:r>
        <w:t xml:space="preserve">The patient is taken urgently to the hybrid operating suite. An endovascular-first approach is attempted; however, due to the proximal nature of the embolus and signs of peritonitis developing, a formal laparotomy is performed. An SMA embolectomy is successful, restoring pulsatile flow. A small segment of dusky ileum (30cm) is observed. The surgeons decide on a</w:t>
      </w:r>
      <w:r>
        <w:t xml:space="preserve"> </w:t>
      </w:r>
      <w:r>
        <w:t xml:space="preserve">“second-look”</w:t>
      </w:r>
      <w:r>
        <w:t xml:space="preserve"> </w:t>
      </w:r>
      <w:r>
        <w:t xml:space="preserve">laparotomy in 24 hours rather than immediate resection of the questionable segment.</w:t>
      </w:r>
    </w:p>
    <w:p>
      <w:r>
        <w:pict>
          <v:rect style="width:0;height:1.5pt" o:hralign="center" o:hrstd="t" o:hr="t"/>
        </w:pict>
      </w:r>
    </w:p>
    <w:bookmarkEnd w:id="9"/>
    <w:bookmarkStart w:id="16" w:name="rapid-fire-clinical-questions-answers"/>
    <w:p>
      <w:pPr>
        <w:pStyle w:val="Heading2"/>
      </w:pPr>
      <w:r>
        <w:t xml:space="preserve">100 Rapid-Fire Clinical Questions &amp; Answers</w:t>
      </w:r>
    </w:p>
    <w:bookmarkStart w:id="10" w:name="q1-q15-triage-initial-history"/>
    <w:p>
      <w:pPr>
        <w:pStyle w:val="Heading3"/>
      </w:pPr>
      <w:r>
        <w:t xml:space="preserve">Q1-Q15: Triage &amp; Initial History</w:t>
      </w:r>
    </w:p>
    <w:p>
      <w:pPr>
        <w:pStyle w:val="FirstParagraph"/>
      </w:pPr>
      <w:r>
        <w:rPr>
          <w:b/>
          <w:bCs/>
        </w:rPr>
        <w:t xml:space="preserve">Q1: What is the classic triad of acute mesenteric ischaemia (AMI)?</w:t>
      </w:r>
      <w:r>
        <w:br/>
      </w:r>
      <w:r>
        <w:t xml:space="preserve">A: Sudden onset severe abdominal pain, minimal physical findings (</w:t>
      </w:r>
      <w:r>
        <w:t xml:space="preserve">“pain out of proportion”</w:t>
      </w:r>
      <w:r>
        <w:t xml:space="preserve">), and a source of emboli (e.g., AFib).</w:t>
      </w:r>
    </w:p>
    <w:p>
      <w:pPr>
        <w:pStyle w:val="BodyText"/>
      </w:pPr>
      <w:r>
        <w:rPr>
          <w:b/>
          <w:bCs/>
        </w:rPr>
        <w:t xml:space="preserve">Q2: Why is the pain described as</w:t>
      </w:r>
      <w:r>
        <w:rPr>
          <w:b/>
          <w:bCs/>
        </w:rPr>
        <w:t xml:space="preserve"> </w:t>
      </w:r>
      <w:r>
        <w:rPr>
          <w:b/>
          <w:bCs/>
        </w:rPr>
        <w:t xml:space="preserve">“out of proportion”</w:t>
      </w:r>
      <w:r>
        <w:rPr>
          <w:b/>
          <w:bCs/>
        </w:rPr>
        <w:t xml:space="preserve"> </w:t>
      </w:r>
      <w:r>
        <w:rPr>
          <w:b/>
          <w:bCs/>
        </w:rPr>
        <w:t xml:space="preserve">in early AMI?</w:t>
      </w:r>
      <w:r>
        <w:br/>
      </w:r>
      <w:r>
        <w:t xml:space="preserve">A: The initial injury is mucosal/transmural ischaemia which causes severe visceral pain before somatic peritoneal irritation (tenderness) develops.</w:t>
      </w:r>
    </w:p>
    <w:p>
      <w:pPr>
        <w:pStyle w:val="BodyText"/>
      </w:pPr>
      <w:r>
        <w:rPr>
          <w:b/>
          <w:bCs/>
        </w:rPr>
        <w:t xml:space="preserve">Q3: What is the most common cardiac risk factor for embolic AMI?</w:t>
      </w:r>
      <w:r>
        <w:br/>
      </w:r>
      <w:r>
        <w:t xml:space="preserve">A: Atrial fibrillation.</w:t>
      </w:r>
    </w:p>
    <w:p>
      <w:pPr>
        <w:pStyle w:val="BodyText"/>
      </w:pPr>
      <w:r>
        <w:rPr>
          <w:b/>
          <w:bCs/>
        </w:rPr>
        <w:t xml:space="preserve">Q4: Define</w:t>
      </w:r>
      <w:r>
        <w:rPr>
          <w:b/>
          <w:bCs/>
        </w:rPr>
        <w:t xml:space="preserve"> </w:t>
      </w:r>
      <w:r>
        <w:rPr>
          <w:b/>
          <w:bCs/>
        </w:rPr>
        <w:t xml:space="preserve">“food fear”</w:t>
      </w:r>
      <w:r>
        <w:rPr>
          <w:b/>
          <w:bCs/>
        </w:rPr>
        <w:t xml:space="preserve"> </w:t>
      </w:r>
      <w:r>
        <w:rPr>
          <w:b/>
          <w:bCs/>
        </w:rPr>
        <w:t xml:space="preserve">in the context of mesenteric vascular disease.</w:t>
      </w:r>
      <w:r>
        <w:br/>
      </w:r>
      <w:r>
        <w:t xml:space="preserve">A: Sitophobia; the patient avoids eating to prevent the predictable post-prandial abdominal pain associated with chronic mesenteric ischaemia.</w:t>
      </w:r>
    </w:p>
    <w:p>
      <w:pPr>
        <w:pStyle w:val="BodyText"/>
      </w:pPr>
      <w:r>
        <w:rPr>
          <w:b/>
          <w:bCs/>
        </w:rPr>
        <w:t xml:space="preserve">Q5: What is the significance of peripheral vascular disease (PVD) in AMI?</w:t>
      </w:r>
      <w:r>
        <w:br/>
      </w:r>
      <w:r>
        <w:t xml:space="preserve">A: It suggests a higher likelihood of thrombotic AMI (on top of pre-existing atherosclerosis) rather than embolic.</w:t>
      </w:r>
    </w:p>
    <w:p>
      <w:pPr>
        <w:pStyle w:val="BodyText"/>
      </w:pPr>
      <w:r>
        <w:rPr>
          <w:b/>
          <w:bCs/>
        </w:rPr>
        <w:t xml:space="preserve">Q6: How does the onset of pain differ between embolic and thrombotic AMI?</w:t>
      </w:r>
      <w:r>
        <w:br/>
      </w:r>
      <w:r>
        <w:t xml:space="preserve">A: Embolic is typically sudden and catastrophic; thrombotic often has a prodrome of chronic mesenteric ischaemia (post-prandial pain).</w:t>
      </w:r>
    </w:p>
    <w:p>
      <w:pPr>
        <w:pStyle w:val="BodyText"/>
      </w:pPr>
      <w:r>
        <w:rPr>
          <w:b/>
          <w:bCs/>
        </w:rPr>
        <w:t xml:space="preserve">Q7: Is vomiting a common feature of AMI?</w:t>
      </w:r>
      <w:r>
        <w:br/>
      </w:r>
      <w:r>
        <w:t xml:space="preserve">A: Yes,</w:t>
      </w:r>
      <w:r>
        <w:t xml:space="preserve"> </w:t>
      </w:r>
      <w:r>
        <w:t xml:space="preserve">“gut emptying”</w:t>
      </w:r>
      <w:r>
        <w:t xml:space="preserve"> </w:t>
      </w:r>
      <w:r>
        <w:t xml:space="preserve">(vomiting/diarrhea) often occurs early in the course.</w:t>
      </w:r>
    </w:p>
    <w:p>
      <w:pPr>
        <w:pStyle w:val="BodyText"/>
      </w:pPr>
      <w:r>
        <w:rPr>
          <w:b/>
          <w:bCs/>
        </w:rPr>
        <w:t xml:space="preserve">Q8: What percentage of AMI cases are embolic?</w:t>
      </w:r>
      <w:r>
        <w:br/>
      </w:r>
      <w:r>
        <w:t xml:space="preserve">A: Approximately 40-50%.</w:t>
      </w:r>
    </w:p>
    <w:p>
      <w:pPr>
        <w:pStyle w:val="BodyText"/>
      </w:pPr>
      <w:r>
        <w:rPr>
          <w:b/>
          <w:bCs/>
        </w:rPr>
        <w:t xml:space="preserve">Q9: What is the role of digital rectal exam in suspected AMI?</w:t>
      </w:r>
      <w:r>
        <w:br/>
      </w:r>
      <w:r>
        <w:t xml:space="preserve">A: To check for occult blood, which may be present in advanced ischaemia/infarction.</w:t>
      </w:r>
    </w:p>
    <w:p>
      <w:pPr>
        <w:pStyle w:val="BodyText"/>
      </w:pPr>
      <w:r>
        <w:rPr>
          <w:b/>
          <w:bCs/>
        </w:rPr>
        <w:t xml:space="preserve">Q10: Can a patient with AMI have a soft abdomen?</w:t>
      </w:r>
      <w:r>
        <w:br/>
      </w:r>
      <w:r>
        <w:t xml:space="preserve">A: Yes, early in the course, the absence of guarding or rigidity is a hallmark.</w:t>
      </w:r>
    </w:p>
    <w:p>
      <w:pPr>
        <w:pStyle w:val="BodyText"/>
      </w:pPr>
      <w:r>
        <w:rPr>
          <w:b/>
          <w:bCs/>
        </w:rPr>
        <w:t xml:space="preserve">Q11: What is the mortality rate of AMI if diagnosis is delayed beyond 12-24 hours?</w:t>
      </w:r>
      <w:r>
        <w:br/>
      </w:r>
      <w:r>
        <w:t xml:space="preserve">A: It can exceed 70-90%.</w:t>
      </w:r>
    </w:p>
    <w:p>
      <w:pPr>
        <w:pStyle w:val="BodyText"/>
      </w:pPr>
      <w:r>
        <w:rPr>
          <w:b/>
          <w:bCs/>
        </w:rPr>
        <w:t xml:space="preserve">Q12: Which mesenteric vessel is most commonly affected by emboli?</w:t>
      </w:r>
      <w:r>
        <w:br/>
      </w:r>
      <w:r>
        <w:t xml:space="preserve">A: The Superior Mesenteric Artery (SMA), due to its narrow angle of origin from the aorta.</w:t>
      </w:r>
    </w:p>
    <w:p>
      <w:pPr>
        <w:pStyle w:val="BodyText"/>
      </w:pPr>
      <w:r>
        <w:rPr>
          <w:b/>
          <w:bCs/>
        </w:rPr>
        <w:t xml:space="preserve">Q13: Does a history of smoking increase AMI risk?</w:t>
      </w:r>
      <w:r>
        <w:br/>
      </w:r>
      <w:r>
        <w:t xml:space="preserve">A: Yes, it is a major risk factor for atherosclerotic (thrombotic) AMI.</w:t>
      </w:r>
    </w:p>
    <w:p>
      <w:pPr>
        <w:pStyle w:val="BodyText"/>
      </w:pPr>
      <w:r>
        <w:rPr>
          <w:b/>
          <w:bCs/>
        </w:rPr>
        <w:t xml:space="preserve">Q14: What is the significance of a</w:t>
      </w:r>
      <w:r>
        <w:rPr>
          <w:b/>
          <w:bCs/>
        </w:rPr>
        <w:t xml:space="preserve"> </w:t>
      </w:r>
      <w:r>
        <w:rPr>
          <w:b/>
          <w:bCs/>
        </w:rPr>
        <w:t xml:space="preserve">“silent”</w:t>
      </w:r>
      <w:r>
        <w:rPr>
          <w:b/>
          <w:bCs/>
        </w:rPr>
        <w:t xml:space="preserve"> </w:t>
      </w:r>
      <w:r>
        <w:rPr>
          <w:b/>
          <w:bCs/>
        </w:rPr>
        <w:t xml:space="preserve">abdomen (absent bowel sounds)?</w:t>
      </w:r>
      <w:r>
        <w:br/>
      </w:r>
      <w:r>
        <w:t xml:space="preserve">A: It suggests late-stage ischaemia or ileus following bowel infarction.</w:t>
      </w:r>
    </w:p>
    <w:p>
      <w:pPr>
        <w:pStyle w:val="BodyText"/>
      </w:pPr>
      <w:r>
        <w:rPr>
          <w:b/>
          <w:bCs/>
        </w:rPr>
        <w:t xml:space="preserve">Q15: How relevant is a history of recent MI to AMI?</w:t>
      </w:r>
      <w:r>
        <w:br/>
      </w:r>
      <w:r>
        <w:t xml:space="preserve">A: Highly relevant; a recent MI can lead to mural thrombus or low cardiac output (NOMI).</w:t>
      </w:r>
    </w:p>
    <w:bookmarkEnd w:id="10"/>
    <w:bookmarkStart w:id="11" w:name="q16-q35-diagnostic-decision-making"/>
    <w:p>
      <w:pPr>
        <w:pStyle w:val="Heading3"/>
      </w:pPr>
      <w:r>
        <w:t xml:space="preserve">Q16-Q35: Diagnostic Decision Making</w:t>
      </w:r>
    </w:p>
    <w:p>
      <w:pPr>
        <w:pStyle w:val="FirstParagraph"/>
      </w:pPr>
      <w:r>
        <w:rPr>
          <w:b/>
          <w:bCs/>
        </w:rPr>
        <w:t xml:space="preserve">Q16: What is the</w:t>
      </w:r>
      <w:r>
        <w:rPr>
          <w:b/>
          <w:bCs/>
        </w:rPr>
        <w:t xml:space="preserve"> </w:t>
      </w:r>
      <w:r>
        <w:rPr>
          <w:b/>
          <w:bCs/>
        </w:rPr>
        <w:t xml:space="preserve">“gold standard”</w:t>
      </w:r>
      <w:r>
        <w:rPr>
          <w:b/>
          <w:bCs/>
        </w:rPr>
        <w:t xml:space="preserve"> </w:t>
      </w:r>
      <w:r>
        <w:rPr>
          <w:b/>
          <w:bCs/>
        </w:rPr>
        <w:t xml:space="preserve">imaging modality for AMI?</w:t>
      </w:r>
      <w:r>
        <w:br/>
      </w:r>
      <w:r>
        <w:t xml:space="preserve">A: CT Angiography (CTA) of the abdomen and pelvis (multidetector CT).</w:t>
      </w:r>
    </w:p>
    <w:p>
      <w:pPr>
        <w:pStyle w:val="BodyText"/>
      </w:pPr>
      <w:r>
        <w:rPr>
          <w:b/>
          <w:bCs/>
        </w:rPr>
        <w:t xml:space="preserve">Q17: Should oral contrast be used in CTA for suspected AMI?</w:t>
      </w:r>
      <w:r>
        <w:br/>
      </w:r>
      <w:r>
        <w:t xml:space="preserve">A: No; oral contrast can obscure the assessment of the arterial wall and bowel wall enhancement.</w:t>
      </w:r>
    </w:p>
    <w:p>
      <w:pPr>
        <w:pStyle w:val="BodyText"/>
      </w:pPr>
      <w:r>
        <w:rPr>
          <w:b/>
          <w:bCs/>
        </w:rPr>
        <w:t xml:space="preserve">Q18: What is the sensitivity of CTA for AMI?</w:t>
      </w:r>
      <w:r>
        <w:br/>
      </w:r>
      <w:r>
        <w:t xml:space="preserve">A: Approximately 93-96%.</w:t>
      </w:r>
    </w:p>
    <w:p>
      <w:pPr>
        <w:pStyle w:val="BodyText"/>
      </w:pPr>
      <w:r>
        <w:rPr>
          <w:b/>
          <w:bCs/>
        </w:rPr>
        <w:t xml:space="preserve">Q19: Can a normal lactate level rule out AMI?</w:t>
      </w:r>
      <w:r>
        <w:br/>
      </w:r>
      <w:r>
        <w:t xml:space="preserve">A: No; lactate often rises late, only after significant bowel infarction has occurred.</w:t>
      </w:r>
    </w:p>
    <w:p>
      <w:pPr>
        <w:pStyle w:val="BodyText"/>
      </w:pPr>
      <w:r>
        <w:rPr>
          <w:b/>
          <w:bCs/>
        </w:rPr>
        <w:t xml:space="preserve">Q20: What is the utility of D-dimer in AMI?</w:t>
      </w:r>
      <w:r>
        <w:br/>
      </w:r>
      <w:r>
        <w:t xml:space="preserve">A: High sensitivity (can help rule it out if very low) but very low specificity.</w:t>
      </w:r>
    </w:p>
    <w:p>
      <w:pPr>
        <w:pStyle w:val="BodyText"/>
      </w:pPr>
      <w:r>
        <w:rPr>
          <w:b/>
          <w:bCs/>
        </w:rPr>
        <w:t xml:space="preserve">Q21: What CT finding is highly specific for bowel infarction?</w:t>
      </w:r>
      <w:r>
        <w:br/>
      </w:r>
      <w:r>
        <w:t xml:space="preserve">A: Pneumatosis intestinalis (air in the bowel wall) or portal venous gas.</w:t>
      </w:r>
    </w:p>
    <w:p>
      <w:pPr>
        <w:pStyle w:val="BodyText"/>
      </w:pPr>
      <w:r>
        <w:rPr>
          <w:b/>
          <w:bCs/>
        </w:rPr>
        <w:t xml:space="preserve">Q22: Why is LDH checked in suspected AMI?</w:t>
      </w:r>
      <w:r>
        <w:br/>
      </w:r>
      <w:r>
        <w:t xml:space="preserve">A: Elevated LDH can be a marker of tissue necrosis, including bowel, though non-specific.</w:t>
      </w:r>
    </w:p>
    <w:p>
      <w:pPr>
        <w:pStyle w:val="BodyText"/>
      </w:pPr>
      <w:r>
        <w:rPr>
          <w:b/>
          <w:bCs/>
        </w:rPr>
        <w:t xml:space="preserve">Q23: How does</w:t>
      </w:r>
      <w:r>
        <w:rPr>
          <w:b/>
          <w:bCs/>
        </w:rPr>
        <w:t xml:space="preserve"> </w:t>
      </w:r>
      <w:r>
        <w:rPr>
          <w:b/>
          <w:bCs/>
        </w:rPr>
        <w:t xml:space="preserve">“bowel wall thickening”</w:t>
      </w:r>
      <w:r>
        <w:rPr>
          <w:b/>
          <w:bCs/>
        </w:rPr>
        <w:t xml:space="preserve"> </w:t>
      </w:r>
      <w:r>
        <w:rPr>
          <w:b/>
          <w:bCs/>
        </w:rPr>
        <w:t xml:space="preserve">on CT help?</w:t>
      </w:r>
      <w:r>
        <w:br/>
      </w:r>
      <w:r>
        <w:t xml:space="preserve">A: It is common in MVT or NOMI but less common in early embolic SMA occlusion.</w:t>
      </w:r>
    </w:p>
    <w:p>
      <w:pPr>
        <w:pStyle w:val="BodyText"/>
      </w:pPr>
      <w:r>
        <w:rPr>
          <w:b/>
          <w:bCs/>
        </w:rPr>
        <w:t xml:space="preserve">Q24: What is the</w:t>
      </w:r>
      <w:r>
        <w:rPr>
          <w:b/>
          <w:bCs/>
        </w:rPr>
        <w:t xml:space="preserve"> </w:t>
      </w:r>
      <w:r>
        <w:rPr>
          <w:b/>
          <w:bCs/>
        </w:rPr>
        <w:t xml:space="preserve">“string sign”</w:t>
      </w:r>
      <w:r>
        <w:rPr>
          <w:b/>
          <w:bCs/>
        </w:rPr>
        <w:t xml:space="preserve"> </w:t>
      </w:r>
      <w:r>
        <w:rPr>
          <w:b/>
          <w:bCs/>
        </w:rPr>
        <w:t xml:space="preserve">on angiography?</w:t>
      </w:r>
      <w:r>
        <w:br/>
      </w:r>
      <w:r>
        <w:t xml:space="preserve">A: Severe narrowing of the SMA origin, often seen in NOMI or chronic-on-acute thrombosis.</w:t>
      </w:r>
    </w:p>
    <w:p>
      <w:pPr>
        <w:pStyle w:val="BodyText"/>
      </w:pPr>
      <w:r>
        <w:rPr>
          <w:b/>
          <w:bCs/>
        </w:rPr>
        <w:t xml:space="preserve">Q25: Can plain abdominal X-rays diagnose AMI?</w:t>
      </w:r>
      <w:r>
        <w:br/>
      </w:r>
      <w:r>
        <w:t xml:space="preserve">A: Rarely; they are usually normal in early stages (</w:t>
      </w:r>
      <w:r>
        <w:t xml:space="preserve">“thumbprinting”</w:t>
      </w:r>
      <w:r>
        <w:t xml:space="preserve"> </w:t>
      </w:r>
      <w:r>
        <w:t xml:space="preserve">is a late sign).</w:t>
      </w:r>
    </w:p>
    <w:p>
      <w:pPr>
        <w:pStyle w:val="BodyText"/>
      </w:pPr>
      <w:r>
        <w:rPr>
          <w:b/>
          <w:bCs/>
        </w:rPr>
        <w:t xml:space="preserve">Q26: What is the significance of metabolic acidosis on ABG?</w:t>
      </w:r>
      <w:r>
        <w:br/>
      </w:r>
      <w:r>
        <w:t xml:space="preserve">A: It suggests advanced ischaemia and systemic hypoperfusion.</w:t>
      </w:r>
    </w:p>
    <w:p>
      <w:pPr>
        <w:pStyle w:val="BodyText"/>
      </w:pPr>
      <w:r>
        <w:rPr>
          <w:b/>
          <w:bCs/>
        </w:rPr>
        <w:t xml:space="preserve">Q27: What is the role of ultrasound (Doppler) in acute AMI?</w:t>
      </w:r>
      <w:r>
        <w:br/>
      </w:r>
      <w:r>
        <w:t xml:space="preserve">A: Limited by bowel gas and obesity; CTA is much preferred in the acute setting.</w:t>
      </w:r>
    </w:p>
    <w:p>
      <w:pPr>
        <w:pStyle w:val="BodyText"/>
      </w:pPr>
      <w:r>
        <w:rPr>
          <w:b/>
          <w:bCs/>
        </w:rPr>
        <w:t xml:space="preserve">Q28: When is MR Angiography (MRA) indicated?</w:t>
      </w:r>
      <w:r>
        <w:br/>
      </w:r>
      <w:r>
        <w:t xml:space="preserve">A: Usually in chronic mesenteric ischaemia; it is too slow for the acute emergency setting.</w:t>
      </w:r>
    </w:p>
    <w:p>
      <w:pPr>
        <w:pStyle w:val="BodyText"/>
      </w:pPr>
      <w:r>
        <w:rPr>
          <w:b/>
          <w:bCs/>
        </w:rPr>
        <w:t xml:space="preserve">Q29: What is the</w:t>
      </w:r>
      <w:r>
        <w:rPr>
          <w:b/>
          <w:bCs/>
        </w:rPr>
        <w:t xml:space="preserve"> </w:t>
      </w:r>
      <w:r>
        <w:rPr>
          <w:b/>
          <w:bCs/>
        </w:rPr>
        <w:t xml:space="preserve">“Whirl sign”</w:t>
      </w:r>
      <w:r>
        <w:rPr>
          <w:b/>
          <w:bCs/>
        </w:rPr>
        <w:t xml:space="preserve"> </w:t>
      </w:r>
      <w:r>
        <w:rPr>
          <w:b/>
          <w:bCs/>
        </w:rPr>
        <w:t xml:space="preserve">on CT?</w:t>
      </w:r>
      <w:r>
        <w:br/>
      </w:r>
      <w:r>
        <w:t xml:space="preserve">A: Suggestive of midgut volvulus, which is a mechanical cause of mesenteric ischaemia.</w:t>
      </w:r>
    </w:p>
    <w:p>
      <w:pPr>
        <w:pStyle w:val="BodyText"/>
      </w:pPr>
      <w:r>
        <w:rPr>
          <w:b/>
          <w:bCs/>
        </w:rPr>
        <w:t xml:space="preserve">Q30: What is the role of diagnostic laparoscopy?</w:t>
      </w:r>
      <w:r>
        <w:br/>
      </w:r>
      <w:r>
        <w:t xml:space="preserve">A: Controversial; it may miss early mucosal ischaemia and risks bowel injury in distended loops.</w:t>
      </w:r>
    </w:p>
    <w:p>
      <w:pPr>
        <w:pStyle w:val="BodyText"/>
      </w:pPr>
      <w:r>
        <w:rPr>
          <w:b/>
          <w:bCs/>
        </w:rPr>
        <w:t xml:space="preserve">Q31: Define</w:t>
      </w:r>
      <w:r>
        <w:rPr>
          <w:b/>
          <w:bCs/>
        </w:rPr>
        <w:t xml:space="preserve"> </w:t>
      </w:r>
      <w:r>
        <w:rPr>
          <w:b/>
          <w:bCs/>
        </w:rPr>
        <w:t xml:space="preserve">“Pneumoperitoneum”</w:t>
      </w:r>
      <w:r>
        <w:rPr>
          <w:b/>
          <w:bCs/>
        </w:rPr>
        <w:t xml:space="preserve"> </w:t>
      </w:r>
      <w:r>
        <w:rPr>
          <w:b/>
          <w:bCs/>
        </w:rPr>
        <w:t xml:space="preserve">in the context of AMI.</w:t>
      </w:r>
      <w:r>
        <w:br/>
      </w:r>
      <w:r>
        <w:t xml:space="preserve">A: A late sign indicating bowel perforation.</w:t>
      </w:r>
    </w:p>
    <w:p>
      <w:pPr>
        <w:pStyle w:val="BodyText"/>
      </w:pPr>
      <w:r>
        <w:rPr>
          <w:b/>
          <w:bCs/>
        </w:rPr>
        <w:t xml:space="preserve">Q32: Is leukocytosis (high WCC) a reliable early marker?</w:t>
      </w:r>
      <w:r>
        <w:br/>
      </w:r>
      <w:r>
        <w:t xml:space="preserve">A: No, it is common but non-specific and often appears late.</w:t>
      </w:r>
    </w:p>
    <w:p>
      <w:pPr>
        <w:pStyle w:val="BodyText"/>
      </w:pPr>
      <w:r>
        <w:rPr>
          <w:b/>
          <w:bCs/>
        </w:rPr>
        <w:t xml:space="preserve">Q33: How does CTA differentiate between embolic and thrombotic SMA occlusion?</w:t>
      </w:r>
      <w:r>
        <w:br/>
      </w:r>
      <w:r>
        <w:t xml:space="preserve">A: Embolus: Filling defect 3-10cm from the origin,</w:t>
      </w:r>
      <w:r>
        <w:t xml:space="preserve"> </w:t>
      </w:r>
      <w:r>
        <w:t xml:space="preserve">“meniscus”</w:t>
      </w:r>
      <w:r>
        <w:t xml:space="preserve"> </w:t>
      </w:r>
      <w:r>
        <w:t xml:space="preserve">sign. Thrombosis: Occurs at the origin, usually with heavy calcification.</w:t>
      </w:r>
    </w:p>
    <w:p>
      <w:pPr>
        <w:pStyle w:val="BodyText"/>
      </w:pPr>
      <w:r>
        <w:rPr>
          <w:b/>
          <w:bCs/>
        </w:rPr>
        <w:t xml:space="preserve">Q34: What is the role of cardiac enzymes in the workup?</w:t>
      </w:r>
      <w:r>
        <w:br/>
      </w:r>
      <w:r>
        <w:t xml:space="preserve">A: To rule out MI as a cause or consequence of the presentation.</w:t>
      </w:r>
    </w:p>
    <w:p>
      <w:pPr>
        <w:pStyle w:val="BodyText"/>
      </w:pPr>
      <w:r>
        <w:rPr>
          <w:b/>
          <w:bCs/>
        </w:rPr>
        <w:t xml:space="preserve">Q35: If CTA is negative but clinical suspicion remains very high, what is the next step?</w:t>
      </w:r>
      <w:r>
        <w:br/>
      </w:r>
      <w:r>
        <w:t xml:space="preserve">A: Invasive catheter angiography or surgical exploration (per BSG/WSES).</w:t>
      </w:r>
    </w:p>
    <w:bookmarkEnd w:id="11"/>
    <w:bookmarkStart w:id="12" w:name="q36-q55-acute-ed-management"/>
    <w:p>
      <w:pPr>
        <w:pStyle w:val="Heading3"/>
      </w:pPr>
      <w:r>
        <w:t xml:space="preserve">Q36-Q55: Acute ED Management</w:t>
      </w:r>
    </w:p>
    <w:p>
      <w:pPr>
        <w:pStyle w:val="FirstParagraph"/>
      </w:pPr>
      <w:r>
        <w:rPr>
          <w:b/>
          <w:bCs/>
        </w:rPr>
        <w:t xml:space="preserve">Q36: What is the first-line anticoagulant for AMI?</w:t>
      </w:r>
      <w:r>
        <w:br/>
      </w:r>
      <w:r>
        <w:t xml:space="preserve">A: Unfractionated Heparin (UFH) bolus followed by infusion.</w:t>
      </w:r>
    </w:p>
    <w:p>
      <w:pPr>
        <w:pStyle w:val="BodyText"/>
      </w:pPr>
      <w:r>
        <w:rPr>
          <w:b/>
          <w:bCs/>
        </w:rPr>
        <w:t xml:space="preserve">Q37: Why is UFH preferred over LMWH initially?</w:t>
      </w:r>
      <w:r>
        <w:br/>
      </w:r>
      <w:r>
        <w:t xml:space="preserve">A: It can be easily reversed (Protamine) if urgent surgery is required.</w:t>
      </w:r>
    </w:p>
    <w:p>
      <w:pPr>
        <w:pStyle w:val="BodyText"/>
      </w:pPr>
      <w:r>
        <w:rPr>
          <w:b/>
          <w:bCs/>
        </w:rPr>
        <w:t xml:space="preserve">Q38: What is the goal of fluid resuscitation?</w:t>
      </w:r>
      <w:r>
        <w:br/>
      </w:r>
      <w:r>
        <w:t xml:space="preserve">A: To improve mesenteric perfusion and correct metabolic acidosis.</w:t>
      </w:r>
    </w:p>
    <w:p>
      <w:pPr>
        <w:pStyle w:val="BodyText"/>
      </w:pPr>
      <w:r>
        <w:rPr>
          <w:b/>
          <w:bCs/>
        </w:rPr>
        <w:t xml:space="preserve">Q39: Should vasopressors be used in AMI?</w:t>
      </w:r>
      <w:r>
        <w:br/>
      </w:r>
      <w:r>
        <w:t xml:space="preserve">A: Use with caution; alpha-agonists (e.g., Noradrenaline) can worsen mesenteric vasoconstriction.</w:t>
      </w:r>
    </w:p>
    <w:p>
      <w:pPr>
        <w:pStyle w:val="BodyText"/>
      </w:pPr>
      <w:r>
        <w:rPr>
          <w:b/>
          <w:bCs/>
        </w:rPr>
        <w:t xml:space="preserve">Q40: Which vasopressor is preferred if needed?</w:t>
      </w:r>
      <w:r>
        <w:br/>
      </w:r>
      <w:r>
        <w:t xml:space="preserve">A: Dobutamine or low-dose Dopamine (though controversial); Noradrenaline is often necessary for BP but should be kept to the minimum.</w:t>
      </w:r>
    </w:p>
    <w:p>
      <w:pPr>
        <w:pStyle w:val="BodyText"/>
      </w:pPr>
      <w:r>
        <w:rPr>
          <w:b/>
          <w:bCs/>
        </w:rPr>
        <w:t xml:space="preserve">Q41: Are prophylactic antibiotics required?</w:t>
      </w:r>
      <w:r>
        <w:br/>
      </w:r>
      <w:r>
        <w:t xml:space="preserve">A: Yes, to cover translocation of gut flora (Gram-negatives and anaerobes).</w:t>
      </w:r>
    </w:p>
    <w:p>
      <w:pPr>
        <w:pStyle w:val="BodyText"/>
      </w:pPr>
      <w:r>
        <w:rPr>
          <w:b/>
          <w:bCs/>
        </w:rPr>
        <w:t xml:space="preserve">Q42: What is the target MAP for resuscitation?</w:t>
      </w:r>
      <w:r>
        <w:br/>
      </w:r>
      <w:r>
        <w:t xml:space="preserve">A: At least 65 mmHg to maintain organ perfusion.</w:t>
      </w:r>
    </w:p>
    <w:p>
      <w:pPr>
        <w:pStyle w:val="BodyText"/>
      </w:pPr>
      <w:r>
        <w:rPr>
          <w:b/>
          <w:bCs/>
        </w:rPr>
        <w:t xml:space="preserve">Q43: Should an NG tube be placed?</w:t>
      </w:r>
      <w:r>
        <w:br/>
      </w:r>
      <w:r>
        <w:t xml:space="preserve">A: Yes, for gastric decompression to reduce intra-abdominal pressure and risk of aspiration.</w:t>
      </w:r>
    </w:p>
    <w:p>
      <w:pPr>
        <w:pStyle w:val="BodyText"/>
      </w:pPr>
      <w:r>
        <w:rPr>
          <w:b/>
          <w:bCs/>
        </w:rPr>
        <w:t xml:space="preserve">Q44: What is the role of Papaverine?</w:t>
      </w:r>
      <w:r>
        <w:br/>
      </w:r>
      <w:r>
        <w:t xml:space="preserve">A: A vasodilator used via catheter angiography to treat NOMI or SMA vasospasm.</w:t>
      </w:r>
    </w:p>
    <w:p>
      <w:pPr>
        <w:pStyle w:val="BodyText"/>
      </w:pPr>
      <w:r>
        <w:rPr>
          <w:b/>
          <w:bCs/>
        </w:rPr>
        <w:t xml:space="preserve">Q45: When should the surgical team be involved?</w:t>
      </w:r>
      <w:r>
        <w:br/>
      </w:r>
      <w:r>
        <w:t xml:space="preserve">A: Immediately upon suspicion of AMI.</w:t>
      </w:r>
    </w:p>
    <w:p>
      <w:pPr>
        <w:pStyle w:val="BodyText"/>
      </w:pPr>
      <w:r>
        <w:rPr>
          <w:b/>
          <w:bCs/>
        </w:rPr>
        <w:t xml:space="preserve">Q46: Is there a role for thrombolysis in AMI?</w:t>
      </w:r>
      <w:r>
        <w:br/>
      </w:r>
      <w:r>
        <w:t xml:space="preserve">A: Only in very early, non-peritoneal cases without contraindications, usually via catheter.</w:t>
      </w:r>
    </w:p>
    <w:p>
      <w:pPr>
        <w:pStyle w:val="BodyText"/>
      </w:pPr>
      <w:r>
        <w:rPr>
          <w:b/>
          <w:bCs/>
        </w:rPr>
        <w:t xml:space="preserve">Q47: What electrolyte abnormality is common in bowel necrosis?</w:t>
      </w:r>
      <w:r>
        <w:br/>
      </w:r>
      <w:r>
        <w:t xml:space="preserve">A: Hyperkalemia (due to cell death).</w:t>
      </w:r>
    </w:p>
    <w:p>
      <w:pPr>
        <w:pStyle w:val="BodyText"/>
      </w:pPr>
      <w:r>
        <w:rPr>
          <w:b/>
          <w:bCs/>
        </w:rPr>
        <w:t xml:space="preserve">Q48: How does UFH help in embolic AMI?</w:t>
      </w:r>
      <w:r>
        <w:br/>
      </w:r>
      <w:r>
        <w:t xml:space="preserve">A: Prevents propagation of the thrombus distal to the embolus.</w:t>
      </w:r>
    </w:p>
    <w:p>
      <w:pPr>
        <w:pStyle w:val="BodyText"/>
      </w:pPr>
      <w:r>
        <w:rPr>
          <w:b/>
          <w:bCs/>
        </w:rPr>
        <w:t xml:space="preserve">Q49: Should AMI patients be NPO (Nil Per Os)?</w:t>
      </w:r>
      <w:r>
        <w:br/>
      </w:r>
      <w:r>
        <w:t xml:space="preserve">A: Yes, absolutely.</w:t>
      </w:r>
    </w:p>
    <w:p>
      <w:pPr>
        <w:pStyle w:val="BodyText"/>
      </w:pPr>
      <w:r>
        <w:rPr>
          <w:b/>
          <w:bCs/>
        </w:rPr>
        <w:t xml:space="preserve">Q50: What is the utility of a Foley catheter?</w:t>
      </w:r>
      <w:r>
        <w:br/>
      </w:r>
      <w:r>
        <w:t xml:space="preserve">A: To monitor urine output as a surrogate for global perfusion.</w:t>
      </w:r>
    </w:p>
    <w:p>
      <w:pPr>
        <w:pStyle w:val="BodyText"/>
      </w:pPr>
      <w:r>
        <w:rPr>
          <w:b/>
          <w:bCs/>
        </w:rPr>
        <w:t xml:space="preserve">Q51: How often should lactate be monitored?</w:t>
      </w:r>
      <w:r>
        <w:br/>
      </w:r>
      <w:r>
        <w:t xml:space="preserve">A: Every 2-4 hours or based on clinical change.</w:t>
      </w:r>
    </w:p>
    <w:p>
      <w:pPr>
        <w:pStyle w:val="BodyText"/>
      </w:pPr>
      <w:r>
        <w:rPr>
          <w:b/>
          <w:bCs/>
        </w:rPr>
        <w:t xml:space="preserve">Q52: Can AMI cause SIRS?</w:t>
      </w:r>
      <w:r>
        <w:br/>
      </w:r>
      <w:r>
        <w:t xml:space="preserve">A: Yes, it often triggers a Systemic Inflammatory Response Syndrome.</w:t>
      </w:r>
    </w:p>
    <w:p>
      <w:pPr>
        <w:pStyle w:val="BodyText"/>
      </w:pPr>
      <w:r>
        <w:rPr>
          <w:b/>
          <w:bCs/>
        </w:rPr>
        <w:t xml:space="preserve">Q53: What is the role of analgesia?</w:t>
      </w:r>
      <w:r>
        <w:br/>
      </w:r>
      <w:r>
        <w:t xml:space="preserve">A: Vital; Opioids (Fentanyl) are typically used for the severe pain.</w:t>
      </w:r>
    </w:p>
    <w:p>
      <w:pPr>
        <w:pStyle w:val="BodyText"/>
      </w:pPr>
      <w:r>
        <w:rPr>
          <w:b/>
          <w:bCs/>
        </w:rPr>
        <w:t xml:space="preserve">Q54: Should NSAIDs be used?</w:t>
      </w:r>
      <w:r>
        <w:br/>
      </w:r>
      <w:r>
        <w:t xml:space="preserve">A: No; they risk renal impairment and GI bleeding.</w:t>
      </w:r>
    </w:p>
    <w:p>
      <w:pPr>
        <w:pStyle w:val="BodyText"/>
      </w:pPr>
      <w:r>
        <w:rPr>
          <w:b/>
          <w:bCs/>
        </w:rPr>
        <w:t xml:space="preserve">Q55: What is the priority: CTA or Resuscitation?</w:t>
      </w:r>
      <w:r>
        <w:br/>
      </w:r>
      <w:r>
        <w:t xml:space="preserve">A: Parallel process; CTA should not be delayed by</w:t>
      </w:r>
      <w:r>
        <w:t xml:space="preserve"> </w:t>
      </w:r>
      <w:r>
        <w:t xml:space="preserve">“perfecting”</w:t>
      </w:r>
      <w:r>
        <w:t xml:space="preserve"> </w:t>
      </w:r>
      <w:r>
        <w:t xml:space="preserve">resuscitation if the patient is relatively stable.</w:t>
      </w:r>
    </w:p>
    <w:bookmarkEnd w:id="12"/>
    <w:bookmarkStart w:id="13" w:name="q56-q75-specific-etiologies"/>
    <w:p>
      <w:pPr>
        <w:pStyle w:val="Heading3"/>
      </w:pPr>
      <w:r>
        <w:t xml:space="preserve">Q56-Q75: Specific Etiologies</w:t>
      </w:r>
    </w:p>
    <w:p>
      <w:pPr>
        <w:pStyle w:val="FirstParagraph"/>
      </w:pPr>
      <w:r>
        <w:rPr>
          <w:b/>
          <w:bCs/>
        </w:rPr>
        <w:t xml:space="preserve">Q56: What is the most common site for an SMA embolus to lodge?</w:t>
      </w:r>
      <w:r>
        <w:br/>
      </w:r>
      <w:r>
        <w:t xml:space="preserve">A: Just distal to the origin of the Middle Colic Artery.</w:t>
      </w:r>
    </w:p>
    <w:p>
      <w:pPr>
        <w:pStyle w:val="BodyText"/>
      </w:pPr>
      <w:r>
        <w:rPr>
          <w:b/>
          <w:bCs/>
        </w:rPr>
        <w:t xml:space="preserve">Q57: Define Non-Occlusive Mesenteric Ischaemia (NOMI).</w:t>
      </w:r>
      <w:r>
        <w:br/>
      </w:r>
      <w:r>
        <w:t xml:space="preserve">A: Mesenteric ischaemia due to low-flow states (e.g., shock, heart failure, vasopressors) without a mechanical blockage.</w:t>
      </w:r>
    </w:p>
    <w:p>
      <w:pPr>
        <w:pStyle w:val="BodyText"/>
      </w:pPr>
      <w:r>
        <w:rPr>
          <w:b/>
          <w:bCs/>
        </w:rPr>
        <w:t xml:space="preserve">Q58: What is the primary treatment for NOMI?</w:t>
      </w:r>
      <w:r>
        <w:br/>
      </w:r>
      <w:r>
        <w:t xml:space="preserve">A: Treatment of the underlying cause (optimizing cardiac output) and intra-arterial vasodilators (Papaverine).</w:t>
      </w:r>
    </w:p>
    <w:p>
      <w:pPr>
        <w:pStyle w:val="BodyText"/>
      </w:pPr>
      <w:r>
        <w:rPr>
          <w:b/>
          <w:bCs/>
        </w:rPr>
        <w:t xml:space="preserve">Q59: What is Mesenteric Venous Thrombosis (MVT)?</w:t>
      </w:r>
      <w:r>
        <w:br/>
      </w:r>
      <w:r>
        <w:t xml:space="preserve">A: Blood clot in the SMV or portal vein, often associated with hypercoagulable states.</w:t>
      </w:r>
    </w:p>
    <w:p>
      <w:pPr>
        <w:pStyle w:val="BodyText"/>
      </w:pPr>
      <w:r>
        <w:rPr>
          <w:b/>
          <w:bCs/>
        </w:rPr>
        <w:t xml:space="preserve">Q60: How does MVT typically present compared to arterial AMI?</w:t>
      </w:r>
      <w:r>
        <w:br/>
      </w:r>
      <w:r>
        <w:t xml:space="preserve">A: More subacute onset, more abdominal distension, and prominent bowel wall thickening on CT.</w:t>
      </w:r>
    </w:p>
    <w:p>
      <w:pPr>
        <w:pStyle w:val="BodyText"/>
      </w:pPr>
      <w:r>
        <w:rPr>
          <w:b/>
          <w:bCs/>
        </w:rPr>
        <w:t xml:space="preserve">Q61: What is the treatment for MVT without peritonitis?</w:t>
      </w:r>
      <w:r>
        <w:br/>
      </w:r>
      <w:r>
        <w:t xml:space="preserve">A: Anticoagulation (Heparin then Warfarin/DOAC) and bowel rest.</w:t>
      </w:r>
    </w:p>
    <w:p>
      <w:pPr>
        <w:pStyle w:val="BodyText"/>
      </w:pPr>
      <w:r>
        <w:rPr>
          <w:b/>
          <w:bCs/>
        </w:rPr>
        <w:t xml:space="preserve">Q62: What percentage of AMI is caused by MVT?</w:t>
      </w:r>
      <w:r>
        <w:br/>
      </w:r>
      <w:r>
        <w:t xml:space="preserve">A: 5-15%.</w:t>
      </w:r>
    </w:p>
    <w:p>
      <w:pPr>
        <w:pStyle w:val="BodyText"/>
      </w:pPr>
      <w:r>
        <w:rPr>
          <w:b/>
          <w:bCs/>
        </w:rPr>
        <w:t xml:space="preserve">Q63: What are the risk factors for MVT?</w:t>
      </w:r>
      <w:r>
        <w:br/>
      </w:r>
      <w:r>
        <w:t xml:space="preserve">A: Factor V Leiden, Protein C/S deficiency, Cirrhosis, Pancreatitis, Malignancy.</w:t>
      </w:r>
    </w:p>
    <w:p>
      <w:pPr>
        <w:pStyle w:val="BodyText"/>
      </w:pPr>
      <w:r>
        <w:rPr>
          <w:b/>
          <w:bCs/>
        </w:rPr>
        <w:t xml:space="preserve">Q64: Define Chronic Mesenteric Ischaemia (CMI).</w:t>
      </w:r>
      <w:r>
        <w:br/>
      </w:r>
      <w:r>
        <w:t xml:space="preserve">A: Atherosclerotic narrowing of at least two of the three main mesenteric vessels (Celiac, SMA, IMA).</w:t>
      </w:r>
    </w:p>
    <w:p>
      <w:pPr>
        <w:pStyle w:val="BodyText"/>
      </w:pPr>
      <w:r>
        <w:rPr>
          <w:b/>
          <w:bCs/>
        </w:rPr>
        <w:t xml:space="preserve">Q65: What is the</w:t>
      </w:r>
      <w:r>
        <w:rPr>
          <w:b/>
          <w:bCs/>
        </w:rPr>
        <w:t xml:space="preserve"> </w:t>
      </w:r>
      <w:r>
        <w:rPr>
          <w:b/>
          <w:bCs/>
        </w:rPr>
        <w:t xml:space="preserve">“Median Arcuate Ligament Syndrome”</w:t>
      </w:r>
      <w:r>
        <w:rPr>
          <w:b/>
          <w:bCs/>
        </w:rPr>
        <w:t xml:space="preserve">?</w:t>
      </w:r>
      <w:r>
        <w:br/>
      </w:r>
      <w:r>
        <w:t xml:space="preserve">A: Compression of the Celiac artery by the diaphragm, causing chronic ischaemia.</w:t>
      </w:r>
    </w:p>
    <w:p>
      <w:pPr>
        <w:pStyle w:val="BodyText"/>
      </w:pPr>
      <w:r>
        <w:rPr>
          <w:b/>
          <w:bCs/>
        </w:rPr>
        <w:t xml:space="preserve">Q66: How does</w:t>
      </w:r>
      <w:r>
        <w:rPr>
          <w:b/>
          <w:bCs/>
        </w:rPr>
        <w:t xml:space="preserve"> </w:t>
      </w:r>
      <w:r>
        <w:rPr>
          <w:b/>
          <w:bCs/>
        </w:rPr>
        <w:t xml:space="preserve">“Acute-on-Chronic”</w:t>
      </w:r>
      <w:r>
        <w:rPr>
          <w:b/>
          <w:bCs/>
        </w:rPr>
        <w:t xml:space="preserve"> </w:t>
      </w:r>
      <w:r>
        <w:rPr>
          <w:b/>
          <w:bCs/>
        </w:rPr>
        <w:t xml:space="preserve">AMI occur?</w:t>
      </w:r>
      <w:r>
        <w:br/>
      </w:r>
      <w:r>
        <w:t xml:space="preserve">A: A patient with stable CMI develops an acute thrombosis at the site of a high-grade stenosis.</w:t>
      </w:r>
    </w:p>
    <w:p>
      <w:pPr>
        <w:pStyle w:val="BodyText"/>
      </w:pPr>
      <w:r>
        <w:rPr>
          <w:b/>
          <w:bCs/>
        </w:rPr>
        <w:t xml:space="preserve">Q67: What is the mortality of MVT compared to SMA Embolism?</w:t>
      </w:r>
      <w:r>
        <w:br/>
      </w:r>
      <w:r>
        <w:t xml:space="preserve">A: MVT mortality is lower (approx. 20-30%) compared to SMA embolism (70%+).</w:t>
      </w:r>
    </w:p>
    <w:p>
      <w:pPr>
        <w:pStyle w:val="BodyText"/>
      </w:pPr>
      <w:r>
        <w:rPr>
          <w:b/>
          <w:bCs/>
        </w:rPr>
        <w:t xml:space="preserve">Q68: Can cocaine cause AMI?</w:t>
      </w:r>
      <w:r>
        <w:br/>
      </w:r>
      <w:r>
        <w:t xml:space="preserve">A: Yes, via intense vasospasm (a form of NOMI).</w:t>
      </w:r>
    </w:p>
    <w:p>
      <w:pPr>
        <w:pStyle w:val="BodyText"/>
      </w:pPr>
      <w:r>
        <w:rPr>
          <w:b/>
          <w:bCs/>
        </w:rPr>
        <w:t xml:space="preserve">Q69: What is the</w:t>
      </w:r>
      <w:r>
        <w:rPr>
          <w:b/>
          <w:bCs/>
        </w:rPr>
        <w:t xml:space="preserve"> </w:t>
      </w:r>
      <w:r>
        <w:rPr>
          <w:b/>
          <w:bCs/>
        </w:rPr>
        <w:t xml:space="preserve">“SMA Syndrome”</w:t>
      </w:r>
      <w:r>
        <w:rPr>
          <w:b/>
          <w:bCs/>
        </w:rPr>
        <w:t xml:space="preserve">?</w:t>
      </w:r>
      <w:r>
        <w:br/>
      </w:r>
      <w:r>
        <w:t xml:space="preserve">A: Compression of the third part of the duodenum by the SMA; not primarily a vascular ischaemia but a mechanical obstruction.</w:t>
      </w:r>
    </w:p>
    <w:p>
      <w:pPr>
        <w:pStyle w:val="BodyText"/>
      </w:pPr>
      <w:r>
        <w:rPr>
          <w:b/>
          <w:bCs/>
        </w:rPr>
        <w:t xml:space="preserve">Q70: How does dissection of the SMA occur?</w:t>
      </w:r>
      <w:r>
        <w:br/>
      </w:r>
      <w:r>
        <w:t xml:space="preserve">A: Spontaneously or via extension of an Aortic dissection.</w:t>
      </w:r>
    </w:p>
    <w:p>
      <w:pPr>
        <w:pStyle w:val="BodyText"/>
      </w:pPr>
      <w:r>
        <w:rPr>
          <w:b/>
          <w:bCs/>
        </w:rPr>
        <w:t xml:space="preserve">Q71: Which part of the colon is a</w:t>
      </w:r>
      <w:r>
        <w:rPr>
          <w:b/>
          <w:bCs/>
        </w:rPr>
        <w:t xml:space="preserve"> </w:t>
      </w:r>
      <w:r>
        <w:rPr>
          <w:b/>
          <w:bCs/>
        </w:rPr>
        <w:t xml:space="preserve">“watershed area”</w:t>
      </w:r>
      <w:r>
        <w:rPr>
          <w:b/>
          <w:bCs/>
        </w:rPr>
        <w:t xml:space="preserve"> </w:t>
      </w:r>
      <w:r>
        <w:rPr>
          <w:b/>
          <w:bCs/>
        </w:rPr>
        <w:t xml:space="preserve">for ischaemia?</w:t>
      </w:r>
      <w:r>
        <w:br/>
      </w:r>
      <w:r>
        <w:t xml:space="preserve">A: The splenic flexure (Griffith’s point) and the rectosigmoid junction (Sudek’s point).</w:t>
      </w:r>
    </w:p>
    <w:p>
      <w:pPr>
        <w:pStyle w:val="BodyText"/>
      </w:pPr>
      <w:r>
        <w:rPr>
          <w:b/>
          <w:bCs/>
        </w:rPr>
        <w:t xml:space="preserve">Q72: Is Ischaemic Colitis the same as AMI?</w:t>
      </w:r>
      <w:r>
        <w:br/>
      </w:r>
      <w:r>
        <w:t xml:space="preserve">A: No; Ischaemic Colitis is usually low-flow (non-occlusive) and affects the large bowel; AMI affects the small bowel and is more life-threatening.</w:t>
      </w:r>
    </w:p>
    <w:p>
      <w:pPr>
        <w:pStyle w:val="BodyText"/>
      </w:pPr>
      <w:r>
        <w:rPr>
          <w:b/>
          <w:bCs/>
        </w:rPr>
        <w:t xml:space="preserve">Q73: What is the primary risk factor for Ischaemic Colitis?</w:t>
      </w:r>
      <w:r>
        <w:br/>
      </w:r>
      <w:r>
        <w:t xml:space="preserve">A: Hypovolemia and atherosclerosis in elderly patients.</w:t>
      </w:r>
    </w:p>
    <w:p>
      <w:pPr>
        <w:pStyle w:val="BodyText"/>
      </w:pPr>
      <w:r>
        <w:rPr>
          <w:b/>
          <w:bCs/>
        </w:rPr>
        <w:t xml:space="preserve">Q74: What is the significance of the</w:t>
      </w:r>
      <w:r>
        <w:rPr>
          <w:b/>
          <w:bCs/>
        </w:rPr>
        <w:t xml:space="preserve"> </w:t>
      </w:r>
      <w:r>
        <w:rPr>
          <w:b/>
          <w:bCs/>
        </w:rPr>
        <w:t xml:space="preserve">“Inferior Mesenteric Artery”</w:t>
      </w:r>
      <w:r>
        <w:rPr>
          <w:b/>
          <w:bCs/>
        </w:rPr>
        <w:t xml:space="preserve"> </w:t>
      </w:r>
      <w:r>
        <w:rPr>
          <w:b/>
          <w:bCs/>
        </w:rPr>
        <w:t xml:space="preserve">(IMA) in AMI?</w:t>
      </w:r>
      <w:r>
        <w:br/>
      </w:r>
      <w:r>
        <w:t xml:space="preserve">A: The IMA can provide collateral flow (via the Arc of Riolan) if the SMA is slowly narrowing.</w:t>
      </w:r>
    </w:p>
    <w:p>
      <w:pPr>
        <w:pStyle w:val="BodyText"/>
      </w:pPr>
      <w:r>
        <w:rPr>
          <w:b/>
          <w:bCs/>
        </w:rPr>
        <w:t xml:space="preserve">Q75: Define</w:t>
      </w:r>
      <w:r>
        <w:rPr>
          <w:b/>
          <w:bCs/>
        </w:rPr>
        <w:t xml:space="preserve"> </w:t>
      </w:r>
      <w:r>
        <w:rPr>
          <w:b/>
          <w:bCs/>
        </w:rPr>
        <w:t xml:space="preserve">“Segmental Mediolytic Arteriopathy”</w:t>
      </w:r>
      <w:r>
        <w:rPr>
          <w:b/>
          <w:bCs/>
        </w:rPr>
        <w:t xml:space="preserve">.</w:t>
      </w:r>
      <w:r>
        <w:br/>
      </w:r>
      <w:r>
        <w:t xml:space="preserve">A: A rare non-inflammatory vasculopathy that can lead to mesenteric dissection and ischaemia.</w:t>
      </w:r>
    </w:p>
    <w:bookmarkEnd w:id="13"/>
    <w:bookmarkStart w:id="14" w:name="q76-q90-definitive-repair"/>
    <w:p>
      <w:pPr>
        <w:pStyle w:val="Heading3"/>
      </w:pPr>
      <w:r>
        <w:t xml:space="preserve">Q76-Q90: Definitive Repair</w:t>
      </w:r>
    </w:p>
    <w:p>
      <w:pPr>
        <w:pStyle w:val="FirstParagraph"/>
      </w:pPr>
      <w:r>
        <w:rPr>
          <w:b/>
          <w:bCs/>
        </w:rPr>
        <w:t xml:space="preserve">Q76: What are the two main surgical goals in AMI?</w:t>
      </w:r>
      <w:r>
        <w:br/>
      </w:r>
      <w:r>
        <w:t xml:space="preserve">A: Revascularization of the ischaemic bowel and resection of necrotic bowel.</w:t>
      </w:r>
    </w:p>
    <w:p>
      <w:pPr>
        <w:pStyle w:val="BodyText"/>
      </w:pPr>
      <w:r>
        <w:rPr>
          <w:b/>
          <w:bCs/>
        </w:rPr>
        <w:t xml:space="preserve">Q77: What is the</w:t>
      </w:r>
      <w:r>
        <w:rPr>
          <w:b/>
          <w:bCs/>
        </w:rPr>
        <w:t xml:space="preserve"> </w:t>
      </w:r>
      <w:r>
        <w:rPr>
          <w:b/>
          <w:bCs/>
        </w:rPr>
        <w:t xml:space="preserve">“Endovascular-First”</w:t>
      </w:r>
      <w:r>
        <w:rPr>
          <w:b/>
          <w:bCs/>
        </w:rPr>
        <w:t xml:space="preserve"> </w:t>
      </w:r>
      <w:r>
        <w:rPr>
          <w:b/>
          <w:bCs/>
        </w:rPr>
        <w:t xml:space="preserve">strategy?</w:t>
      </w:r>
      <w:r>
        <w:br/>
      </w:r>
      <w:r>
        <w:t xml:space="preserve">A: Attempting mechanical thrombectomy or stenting before open surgery in stable patients.</w:t>
      </w:r>
    </w:p>
    <w:p>
      <w:pPr>
        <w:pStyle w:val="BodyText"/>
      </w:pPr>
      <w:r>
        <w:rPr>
          <w:b/>
          <w:bCs/>
        </w:rPr>
        <w:t xml:space="preserve">Q78: When is Laparotomy mandatory?</w:t>
      </w:r>
      <w:r>
        <w:br/>
      </w:r>
      <w:r>
        <w:t xml:space="preserve">A: Signs of peritonitis, perforation, or failure of endovascular techniques.</w:t>
      </w:r>
    </w:p>
    <w:p>
      <w:pPr>
        <w:pStyle w:val="BodyText"/>
      </w:pPr>
      <w:r>
        <w:rPr>
          <w:b/>
          <w:bCs/>
        </w:rPr>
        <w:t xml:space="preserve">Q79: What is a</w:t>
      </w:r>
      <w:r>
        <w:rPr>
          <w:b/>
          <w:bCs/>
        </w:rPr>
        <w:t xml:space="preserve"> </w:t>
      </w:r>
      <w:r>
        <w:rPr>
          <w:b/>
          <w:bCs/>
        </w:rPr>
        <w:t xml:space="preserve">“Second-Look”</w:t>
      </w:r>
      <w:r>
        <w:rPr>
          <w:b/>
          <w:bCs/>
        </w:rPr>
        <w:t xml:space="preserve"> </w:t>
      </w:r>
      <w:r>
        <w:rPr>
          <w:b/>
          <w:bCs/>
        </w:rPr>
        <w:t xml:space="preserve">Laparotomy?</w:t>
      </w:r>
      <w:r>
        <w:br/>
      </w:r>
      <w:r>
        <w:t xml:space="preserve">A: A planned re-operation within 24-48 hours to assess the viability of bowel segments previously left behind.</w:t>
      </w:r>
    </w:p>
    <w:p>
      <w:pPr>
        <w:pStyle w:val="BodyText"/>
      </w:pPr>
      <w:r>
        <w:rPr>
          <w:b/>
          <w:bCs/>
        </w:rPr>
        <w:t xml:space="preserve">Q80: Why is revascularization performed before resection?</w:t>
      </w:r>
      <w:r>
        <w:br/>
      </w:r>
      <w:r>
        <w:t xml:space="preserve">A: To potentially save</w:t>
      </w:r>
      <w:r>
        <w:t xml:space="preserve"> </w:t>
      </w:r>
      <w:r>
        <w:t xml:space="preserve">“stunned”</w:t>
      </w:r>
      <w:r>
        <w:t xml:space="preserve"> </w:t>
      </w:r>
      <w:r>
        <w:t xml:space="preserve">bowel that might recover once blood flow is restored.</w:t>
      </w:r>
    </w:p>
    <w:p>
      <w:pPr>
        <w:pStyle w:val="BodyText"/>
      </w:pPr>
      <w:r>
        <w:rPr>
          <w:b/>
          <w:bCs/>
        </w:rPr>
        <w:t xml:space="preserve">Q81: What is a Fogarty Catheter used for in AMI?</w:t>
      </w:r>
      <w:r>
        <w:br/>
      </w:r>
      <w:r>
        <w:t xml:space="preserve">A: To perform an open embolectomy of the SMA.</w:t>
      </w:r>
    </w:p>
    <w:p>
      <w:pPr>
        <w:pStyle w:val="BodyText"/>
      </w:pPr>
      <w:r>
        <w:rPr>
          <w:b/>
          <w:bCs/>
        </w:rPr>
        <w:t xml:space="preserve">Q82: What are the clinical signs of viable bowel during surgery?</w:t>
      </w:r>
      <w:r>
        <w:br/>
      </w:r>
      <w:r>
        <w:t xml:space="preserve">A: Pink color, presence of peristalsis, and detectable arterial pulsations (or Doppler signal) in the mesentery.</w:t>
      </w:r>
    </w:p>
    <w:p>
      <w:pPr>
        <w:pStyle w:val="BodyText"/>
      </w:pPr>
      <w:r>
        <w:rPr>
          <w:b/>
          <w:bCs/>
        </w:rPr>
        <w:t xml:space="preserve">Q83: What is</w:t>
      </w:r>
      <w:r>
        <w:rPr>
          <w:b/>
          <w:bCs/>
        </w:rPr>
        <w:t xml:space="preserve"> </w:t>
      </w:r>
      <w:r>
        <w:rPr>
          <w:b/>
          <w:bCs/>
        </w:rPr>
        <w:t xml:space="preserve">“Fluorescein”</w:t>
      </w:r>
      <w:r>
        <w:rPr>
          <w:b/>
          <w:bCs/>
        </w:rPr>
        <w:t xml:space="preserve"> </w:t>
      </w:r>
      <w:r>
        <w:rPr>
          <w:b/>
          <w:bCs/>
        </w:rPr>
        <w:t xml:space="preserve">used for?</w:t>
      </w:r>
      <w:r>
        <w:br/>
      </w:r>
      <w:r>
        <w:t xml:space="preserve">A: IV dye used to assess bowel viability under UV light during surgery.</w:t>
      </w:r>
    </w:p>
    <w:p>
      <w:pPr>
        <w:pStyle w:val="BodyText"/>
      </w:pPr>
      <w:r>
        <w:rPr>
          <w:b/>
          <w:bCs/>
        </w:rPr>
        <w:t xml:space="preserve">Q84: When is a primary anastomosis avoided?</w:t>
      </w:r>
      <w:r>
        <w:br/>
      </w:r>
      <w:r>
        <w:t xml:space="preserve">A: In cases of severe sepsis, instability, or when the viability of the ends is uncertain.</w:t>
      </w:r>
    </w:p>
    <w:p>
      <w:pPr>
        <w:pStyle w:val="BodyText"/>
      </w:pPr>
      <w:r>
        <w:rPr>
          <w:b/>
          <w:bCs/>
        </w:rPr>
        <w:t xml:space="preserve">Q85: What is the role of an</w:t>
      </w:r>
      <w:r>
        <w:rPr>
          <w:b/>
          <w:bCs/>
        </w:rPr>
        <w:t xml:space="preserve"> </w:t>
      </w:r>
      <w:r>
        <w:rPr>
          <w:b/>
          <w:bCs/>
        </w:rPr>
        <w:t xml:space="preserve">“SMA bypass”</w:t>
      </w:r>
      <w:r>
        <w:rPr>
          <w:b/>
          <w:bCs/>
        </w:rPr>
        <w:t xml:space="preserve">?</w:t>
      </w:r>
      <w:r>
        <w:br/>
      </w:r>
      <w:r>
        <w:t xml:space="preserve">A: Used for thrombotic AMI when simple embolectomy is insufficient due to underlying atherosclerosis.</w:t>
      </w:r>
    </w:p>
    <w:p>
      <w:pPr>
        <w:pStyle w:val="BodyText"/>
      </w:pPr>
      <w:r>
        <w:rPr>
          <w:b/>
          <w:bCs/>
        </w:rPr>
        <w:t xml:space="preserve">Q86: Where is the bypass typically anchored?</w:t>
      </w:r>
      <w:r>
        <w:br/>
      </w:r>
      <w:r>
        <w:t xml:space="preserve">A: From the Aorta or Iliac artery to the distal SMA.</w:t>
      </w:r>
    </w:p>
    <w:p>
      <w:pPr>
        <w:pStyle w:val="BodyText"/>
      </w:pPr>
      <w:r>
        <w:rPr>
          <w:b/>
          <w:bCs/>
        </w:rPr>
        <w:t xml:space="preserve">Q87: Is Damage Control Surgery (DCS) applicable to AMI?</w:t>
      </w:r>
      <w:r>
        <w:br/>
      </w:r>
      <w:r>
        <w:t xml:space="preserve">A: Yes; rapid resection,</w:t>
      </w:r>
      <w:r>
        <w:t xml:space="preserve"> </w:t>
      </w:r>
      <w:r>
        <w:t xml:space="preserve">“temp-oc”</w:t>
      </w:r>
      <w:r>
        <w:t xml:space="preserve"> </w:t>
      </w:r>
      <w:r>
        <w:t xml:space="preserve">(temporary closure), and ICU optimization before definitive repair.</w:t>
      </w:r>
    </w:p>
    <w:p>
      <w:pPr>
        <w:pStyle w:val="BodyText"/>
      </w:pPr>
      <w:r>
        <w:rPr>
          <w:b/>
          <w:bCs/>
        </w:rPr>
        <w:t xml:space="preserve">Q88: What is</w:t>
      </w:r>
      <w:r>
        <w:rPr>
          <w:b/>
          <w:bCs/>
        </w:rPr>
        <w:t xml:space="preserve"> </w:t>
      </w:r>
      <w:r>
        <w:rPr>
          <w:b/>
          <w:bCs/>
        </w:rPr>
        <w:t xml:space="preserve">“Retrograde Open Mesenteric Stenting”</w:t>
      </w:r>
      <w:r>
        <w:rPr>
          <w:b/>
          <w:bCs/>
        </w:rPr>
        <w:t xml:space="preserve"> </w:t>
      </w:r>
      <w:r>
        <w:rPr>
          <w:b/>
          <w:bCs/>
        </w:rPr>
        <w:t xml:space="preserve">(ROMS)?</w:t>
      </w:r>
      <w:r>
        <w:br/>
      </w:r>
      <w:r>
        <w:t xml:space="preserve">A: A hybrid procedure where the SMA is stented retrogradely during a laparotomy.</w:t>
      </w:r>
    </w:p>
    <w:p>
      <w:pPr>
        <w:pStyle w:val="BodyText"/>
      </w:pPr>
      <w:r>
        <w:rPr>
          <w:b/>
          <w:bCs/>
        </w:rPr>
        <w:t xml:space="preserve">Q89: How much small bowel can be resected before</w:t>
      </w:r>
      <w:r>
        <w:rPr>
          <w:b/>
          <w:bCs/>
        </w:rPr>
        <w:t xml:space="preserve"> </w:t>
      </w:r>
      <w:r>
        <w:rPr>
          <w:b/>
          <w:bCs/>
        </w:rPr>
        <w:t xml:space="preserve">“Short Bowel Syndrome”</w:t>
      </w:r>
      <w:r>
        <w:rPr>
          <w:b/>
          <w:bCs/>
        </w:rPr>
        <w:t xml:space="preserve"> </w:t>
      </w:r>
      <w:r>
        <w:rPr>
          <w:b/>
          <w:bCs/>
        </w:rPr>
        <w:t xml:space="preserve">occurs?</w:t>
      </w:r>
      <w:r>
        <w:br/>
      </w:r>
      <w:r>
        <w:t xml:space="preserve">A: Usually, if less than 100cm remains, there is a high risk of malabsorption.</w:t>
      </w:r>
    </w:p>
    <w:p>
      <w:pPr>
        <w:pStyle w:val="BodyText"/>
      </w:pPr>
      <w:r>
        <w:rPr>
          <w:b/>
          <w:bCs/>
        </w:rPr>
        <w:t xml:space="preserve">Q90: What is the role of post-operative anticoagulation?</w:t>
      </w:r>
      <w:r>
        <w:br/>
      </w:r>
      <w:r>
        <w:t xml:space="preserve">A: Mandatory for embolic cases (long-term Warfarin/DOAC) and for stented cases (Dual Antiplatelet Therapy).</w:t>
      </w:r>
    </w:p>
    <w:bookmarkEnd w:id="14"/>
    <w:bookmarkStart w:id="15" w:name="q91-q100-disposition-prognosis"/>
    <w:p>
      <w:pPr>
        <w:pStyle w:val="Heading3"/>
      </w:pPr>
      <w:r>
        <w:t xml:space="preserve">Q91-Q100: Disposition &amp; Prognosis</w:t>
      </w:r>
    </w:p>
    <w:p>
      <w:pPr>
        <w:pStyle w:val="FirstParagraph"/>
      </w:pPr>
      <w:r>
        <w:rPr>
          <w:b/>
          <w:bCs/>
        </w:rPr>
        <w:t xml:space="preserve">Q91: Where should AMI patients be managed post-operatively?</w:t>
      </w:r>
      <w:r>
        <w:br/>
      </w:r>
      <w:r>
        <w:t xml:space="preserve">A: In the Intensive Care Unit (ICU).</w:t>
      </w:r>
    </w:p>
    <w:p>
      <w:pPr>
        <w:pStyle w:val="BodyText"/>
      </w:pPr>
      <w:r>
        <w:rPr>
          <w:b/>
          <w:bCs/>
        </w:rPr>
        <w:t xml:space="preserve">Q92: What is the biggest predictor of survival in AMI?</w:t>
      </w:r>
      <w:r>
        <w:br/>
      </w:r>
      <w:r>
        <w:t xml:space="preserve">A: Time to diagnosis and revascularization.</w:t>
      </w:r>
    </w:p>
    <w:p>
      <w:pPr>
        <w:pStyle w:val="BodyText"/>
      </w:pPr>
      <w:r>
        <w:rPr>
          <w:b/>
          <w:bCs/>
        </w:rPr>
        <w:t xml:space="preserve">Q93: What is the common cause of death post-revascularization?</w:t>
      </w:r>
      <w:r>
        <w:br/>
      </w:r>
      <w:r>
        <w:t xml:space="preserve">A: Reperfusion injury, multi-organ failure, and sepsis.</w:t>
      </w:r>
    </w:p>
    <w:p>
      <w:pPr>
        <w:pStyle w:val="BodyText"/>
      </w:pPr>
      <w:r>
        <w:rPr>
          <w:b/>
          <w:bCs/>
        </w:rPr>
        <w:t xml:space="preserve">Q94: Define</w:t>
      </w:r>
      <w:r>
        <w:rPr>
          <w:b/>
          <w:bCs/>
        </w:rPr>
        <w:t xml:space="preserve"> </w:t>
      </w:r>
      <w:r>
        <w:rPr>
          <w:b/>
          <w:bCs/>
        </w:rPr>
        <w:t xml:space="preserve">“Reperfusion Injury”</w:t>
      </w:r>
      <w:r>
        <w:rPr>
          <w:b/>
          <w:bCs/>
        </w:rPr>
        <w:t xml:space="preserve">.</w:t>
      </w:r>
      <w:r>
        <w:br/>
      </w:r>
      <w:r>
        <w:t xml:space="preserve">A: Damage caused when oxygenated blood returns to ischaemic tissue, releasing free radicals and cytokines.</w:t>
      </w:r>
    </w:p>
    <w:p>
      <w:pPr>
        <w:pStyle w:val="BodyText"/>
      </w:pPr>
      <w:r>
        <w:rPr>
          <w:b/>
          <w:bCs/>
        </w:rPr>
        <w:t xml:space="preserve">Q95: What is the 30-day mortality rate for AMI?</w:t>
      </w:r>
      <w:r>
        <w:br/>
      </w:r>
      <w:r>
        <w:t xml:space="preserve">A: Ranges from 50% to 80% in various series.</w:t>
      </w:r>
    </w:p>
    <w:p>
      <w:pPr>
        <w:pStyle w:val="BodyText"/>
      </w:pPr>
      <w:r>
        <w:rPr>
          <w:b/>
          <w:bCs/>
        </w:rPr>
        <w:t xml:space="preserve">Q96: How is the risk of recurrence managed?</w:t>
      </w:r>
      <w:r>
        <w:br/>
      </w:r>
      <w:r>
        <w:t xml:space="preserve">A: Long-term anticoagulation, statins, smoking cessation, and treatment of underlying AFib.</w:t>
      </w:r>
    </w:p>
    <w:p>
      <w:pPr>
        <w:pStyle w:val="BodyText"/>
      </w:pPr>
      <w:r>
        <w:rPr>
          <w:b/>
          <w:bCs/>
        </w:rPr>
        <w:t xml:space="preserve">Q97: What follow-up imaging is required after SMA stenting?</w:t>
      </w:r>
      <w:r>
        <w:br/>
      </w:r>
      <w:r>
        <w:t xml:space="preserve">A: Duplex ultrasound or CTA at 1, 6, and 12 months to monitor for in-stent stenosis.</w:t>
      </w:r>
    </w:p>
    <w:p>
      <w:pPr>
        <w:pStyle w:val="BodyText"/>
      </w:pPr>
      <w:r>
        <w:rPr>
          <w:b/>
          <w:bCs/>
        </w:rPr>
        <w:t xml:space="preserve">Q98: Can AMI patients return to a normal diet?</w:t>
      </w:r>
      <w:r>
        <w:br/>
      </w:r>
      <w:r>
        <w:t xml:space="preserve">A: Yes, if bowel function returns and there is no significant short bowel syndrome.</w:t>
      </w:r>
    </w:p>
    <w:p>
      <w:pPr>
        <w:pStyle w:val="BodyText"/>
      </w:pPr>
      <w:r>
        <w:rPr>
          <w:b/>
          <w:bCs/>
        </w:rPr>
        <w:t xml:space="preserve">Q99: What is the</w:t>
      </w:r>
      <w:r>
        <w:rPr>
          <w:b/>
          <w:bCs/>
        </w:rPr>
        <w:t xml:space="preserve"> </w:t>
      </w:r>
      <w:r>
        <w:rPr>
          <w:b/>
          <w:bCs/>
        </w:rPr>
        <w:t xml:space="preserve">“Abdominal Compartment Syndrome”</w:t>
      </w:r>
      <w:r>
        <w:rPr>
          <w:b/>
          <w:bCs/>
        </w:rPr>
        <w:t xml:space="preserve"> </w:t>
      </w:r>
      <w:r>
        <w:rPr>
          <w:b/>
          <w:bCs/>
        </w:rPr>
        <w:t xml:space="preserve">risk in AMI?</w:t>
      </w:r>
      <w:r>
        <w:br/>
      </w:r>
      <w:r>
        <w:t xml:space="preserve">A: High, due to massive fluid resuscitation and bowel edema; may require keeping the fascia open.</w:t>
      </w:r>
    </w:p>
    <w:p>
      <w:pPr>
        <w:pStyle w:val="BodyText"/>
      </w:pPr>
      <w:r>
        <w:rPr>
          <w:b/>
          <w:bCs/>
        </w:rPr>
        <w:t xml:space="preserve">Q100: Who should be part of the multidisciplinary team (MDT) for AMI?</w:t>
      </w:r>
      <w:r>
        <w:br/>
      </w:r>
      <w:r>
        <w:t xml:space="preserve">A: General/Vascular Surgeons, Interventional Radiologists, Intensivists, and Gastroenterologists.</w:t>
      </w:r>
    </w:p>
    <w:bookmarkEnd w:id="15"/>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2026-04-02T21:50:54Z</dcterms:created>
  <dcterms:modified xsi:type="dcterms:W3CDTF">2026-04-02T21:50:54Z</dcterms:modified>
</cp:coreProperties>
</file>

<file path=docProps/custom.xml><?xml version="1.0" encoding="utf-8"?>
<Properties xmlns="http://schemas.openxmlformats.org/officeDocument/2006/custom-properties" xmlns:vt="http://schemas.openxmlformats.org/officeDocument/2006/docPropsVTypes"/>
</file>