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d242ee8788abc2509d7d33ec6603eaa80362b56"/>
    <w:p>
      <w:pPr>
        <w:pStyle w:val="Heading1"/>
      </w:pPr>
      <w:r>
        <w:t xml:space="preserve">Master Case: Acute Upper GI Bleed (UGIB) - Narrative Clinical Case</w:t>
      </w:r>
    </w:p>
    <w:bookmarkStart w:id="9" w:name="Xef2e5b38c6bcbddb3c395c6547618376275f416"/>
    <w:p>
      <w:pPr>
        <w:pStyle w:val="Heading2"/>
      </w:pPr>
      <w:r>
        <w:t xml:space="preserve">Master Case Narrative: The</w:t>
      </w:r>
      <w:r>
        <w:t xml:space="preserve"> </w:t>
      </w:r>
      <w:r>
        <w:t xml:space="preserve">“Exsanguinating Emergency”</w:t>
      </w:r>
    </w:p>
    <w:p>
      <w:pPr>
        <w:pStyle w:val="FirstParagraph"/>
      </w:pPr>
      <w:r>
        <w:rPr>
          <w:b/>
          <w:bCs/>
        </w:rPr>
        <w:t xml:space="preserve">Triage (00:00 - 00:15):</w:t>
      </w:r>
      <w:r>
        <w:t xml:space="preserve"> </w:t>
      </w:r>
      <w:r>
        <w:t xml:space="preserve">A 68-year-old male is brought to the Emergency Department by paramedics. He is pale, diaphoretic, and lethargic. He had two large episodes of hematemesis (bright red blood) at home and is currently passing melena.</w:t>
      </w:r>
      <w:r>
        <w:t xml:space="preserve"> </w:t>
      </w:r>
      <w:r>
        <w:rPr>
          <w:i/>
          <w:iCs/>
        </w:rPr>
        <w:t xml:space="preserve">Vital Signs:</w:t>
      </w:r>
      <w:r>
        <w:t xml:space="preserve"> </w:t>
      </w:r>
      <w:r>
        <w:t xml:space="preserve">HR 118 bpm, BP 88/52 mmHg, SpO2 94% on RA, RR 22.</w:t>
      </w:r>
      <w:r>
        <w:t xml:space="preserve"> </w:t>
      </w:r>
      <w:r>
        <w:rPr>
          <w:i/>
          <w:iCs/>
        </w:rPr>
        <w:t xml:space="preserve">Initial History:</w:t>
      </w:r>
      <w:r>
        <w:t xml:space="preserve"> </w:t>
      </w:r>
      <w:r>
        <w:t xml:space="preserve">He has a history of osteoarthritis (taking Naproxen daily) and atrial fibrillation (on Apixaban). No known cirrhosis.</w:t>
      </w:r>
    </w:p>
    <w:p>
      <w:pPr>
        <w:pStyle w:val="BodyText"/>
      </w:pPr>
      <w:r>
        <w:rPr>
          <w:b/>
          <w:bCs/>
        </w:rPr>
        <w:t xml:space="preserve">Initial Management (00:15 - 01:00):</w:t>
      </w:r>
      <w:r>
        <w:t xml:space="preserve"> </w:t>
      </w:r>
      <w:r>
        <w:t xml:space="preserve">The patient is moved to the resuscitation bay. Two large-bore (14G) IV cannulas are placed. A 1L bolus of balanced crystalloid (Plasmalyte) is started. Cross-match for 4 units of PRBC is sent. Given the hypotension and hematemesis, he is scored using the Glasgow-Blatchford Score (GBS), which is 14. An IV bolus of Omeprazole 80mg is administered.</w:t>
      </w:r>
    </w:p>
    <w:p>
      <w:pPr>
        <w:pStyle w:val="BodyText"/>
      </w:pPr>
      <w:r>
        <w:rPr>
          <w:b/>
          <w:bCs/>
        </w:rPr>
        <w:t xml:space="preserve">The Variceal Pivot (01:00 - 02:00):</w:t>
      </w:r>
      <w:r>
        <w:t xml:space="preserve"> </w:t>
      </w:r>
      <w:r>
        <w:t xml:space="preserve">On further examination, he has spider naevi and a distended abdomen with a palpable spleen. The team suspects variceal bleeding despite no prior history of liver disease. IV Terlipressin (2mg) and Ceftriaxone (1g) are administered immediately. Octreotide is held as Terlipressin is available.</w:t>
      </w:r>
    </w:p>
    <w:p>
      <w:pPr>
        <w:pStyle w:val="BodyText"/>
      </w:pPr>
      <w:r>
        <w:rPr>
          <w:b/>
          <w:bCs/>
        </w:rPr>
        <w:t xml:space="preserve">Definitive Intervention (02:00 - 06:00):</w:t>
      </w:r>
      <w:r>
        <w:t xml:space="preserve"> </w:t>
      </w:r>
      <w:r>
        <w:t xml:space="preserve">The patient remains hemodynamically unstable despite 2 units of PRBC. Gastroenterology is paged for emergent endoscopy. The patient is intubated for airway protection due to ongoing hematemesis and altered mental status.</w:t>
      </w:r>
      <w:r>
        <w:t xml:space="preserve"> </w:t>
      </w:r>
      <w:r>
        <w:rPr>
          <w:i/>
          <w:iCs/>
        </w:rPr>
        <w:t xml:space="preserve">Endoscopy Findings:</w:t>
      </w:r>
      <w:r>
        <w:t xml:space="preserve"> </w:t>
      </w:r>
      <w:r>
        <w:t xml:space="preserve">A large, Grade III esophageal varix with an active</w:t>
      </w:r>
      <w:r>
        <w:t xml:space="preserve"> </w:t>
      </w:r>
      <w:r>
        <w:t xml:space="preserve">“spurter.”</w:t>
      </w:r>
      <w:r>
        <w:t xml:space="preserve"> </w:t>
      </w:r>
      <w:r>
        <w:rPr>
          <w:i/>
          <w:iCs/>
        </w:rPr>
        <w:t xml:space="preserve">Intervention:</w:t>
      </w:r>
      <w:r>
        <w:t xml:space="preserve"> </w:t>
      </w:r>
      <w:r>
        <w:t xml:space="preserve">Successful endoscopic variceal ligation (EVL) with 6 bands. Hemostasis is achieved.</w:t>
      </w:r>
    </w:p>
    <w:p>
      <w:pPr>
        <w:pStyle w:val="BodyText"/>
      </w:pPr>
      <w:r>
        <w:rPr>
          <w:b/>
          <w:bCs/>
        </w:rPr>
        <w:t xml:space="preserve">Disposition (06:00 - 24:00):</w:t>
      </w:r>
      <w:r>
        <w:t xml:space="preserve"> </w:t>
      </w:r>
      <w:r>
        <w:t xml:space="preserve">The patient is transferred to the ICU. He is started on a 7-day course of Ceftriaxone. Repeat endoscopy is planned for 48 hours later for reassessment of the variceal bands.</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q1-q15-triage-initial-history"/>
    <w:p>
      <w:pPr>
        <w:pStyle w:val="Heading3"/>
      </w:pPr>
      <w:r>
        <w:t xml:space="preserve">Q1-Q15: Triage &amp; Initial History</w:t>
      </w:r>
    </w:p>
    <w:p>
      <w:pPr>
        <w:pStyle w:val="FirstParagraph"/>
      </w:pPr>
      <w:r>
        <w:rPr>
          <w:b/>
          <w:bCs/>
        </w:rPr>
        <w:t xml:space="preserve">Q1: What is the most common cause of non-variceal UGIB?</w:t>
      </w:r>
      <w:r>
        <w:t xml:space="preserve"> </w:t>
      </w:r>
      <w:r>
        <w:t xml:space="preserve">A: Peptic Ulcer Disease (PUD).</w:t>
      </w:r>
    </w:p>
    <w:p>
      <w:pPr>
        <w:pStyle w:val="BodyText"/>
      </w:pPr>
      <w:r>
        <w:rPr>
          <w:b/>
          <w:bCs/>
        </w:rPr>
        <w:t xml:space="preserve">Q2: How does melena differ from hematochezia in terms of localization?</w:t>
      </w:r>
      <w:r>
        <w:t xml:space="preserve"> </w:t>
      </w:r>
      <w:r>
        <w:t xml:space="preserve">A: Melena usually signifies a source proximal to the ligament of Treitz, while hematochezia usually signifies lower GI source (though massive UGIB can present with hematochezia).</w:t>
      </w:r>
    </w:p>
    <w:p>
      <w:pPr>
        <w:pStyle w:val="BodyText"/>
      </w:pPr>
      <w:r>
        <w:rPr>
          <w:b/>
          <w:bCs/>
        </w:rPr>
        <w:t xml:space="preserve">Q3: What is the</w:t>
      </w:r>
      <w:r>
        <w:rPr>
          <w:b/>
          <w:bCs/>
        </w:rPr>
        <w:t xml:space="preserve"> </w:t>
      </w:r>
      <w:r>
        <w:rPr>
          <w:b/>
          <w:bCs/>
        </w:rPr>
        <w:t xml:space="preserve">“10% rule”</w:t>
      </w:r>
      <w:r>
        <w:rPr>
          <w:b/>
          <w:bCs/>
        </w:rPr>
        <w:t xml:space="preserve"> </w:t>
      </w:r>
      <w:r>
        <w:rPr>
          <w:b/>
          <w:bCs/>
        </w:rPr>
        <w:t xml:space="preserve">in the context of hematochezia?</w:t>
      </w:r>
      <w:r>
        <w:t xml:space="preserve"> </w:t>
      </w:r>
      <w:r>
        <w:t xml:space="preserve">A: Approximately 10% of patients with massive hematochezia have a brisk upper GI source.</w:t>
      </w:r>
    </w:p>
    <w:p>
      <w:pPr>
        <w:pStyle w:val="BodyText"/>
      </w:pPr>
      <w:r>
        <w:rPr>
          <w:b/>
          <w:bCs/>
        </w:rPr>
        <w:t xml:space="preserve">Q4: Which medication is most strongly associated with PUD-related bleeding?</w:t>
      </w:r>
      <w:r>
        <w:t xml:space="preserve"> </w:t>
      </w:r>
      <w:r>
        <w:t xml:space="preserve">A: NSAIDs (especially non-selective ones like Naproxen/Ibuprofen).</w:t>
      </w:r>
    </w:p>
    <w:p>
      <w:pPr>
        <w:pStyle w:val="BodyText"/>
      </w:pPr>
      <w:r>
        <w:rPr>
          <w:b/>
          <w:bCs/>
        </w:rPr>
        <w:t xml:space="preserve">Q5: Why is the duration of symptoms important in UGIB?</w:t>
      </w:r>
      <w:r>
        <w:t xml:space="preserve"> </w:t>
      </w:r>
      <w:r>
        <w:t xml:space="preserve">A: To differentiate acute exsanguination from chronic occult loss and to assess the need for emergent vs. urgent intervention.</w:t>
      </w:r>
    </w:p>
    <w:p>
      <w:pPr>
        <w:pStyle w:val="BodyText"/>
      </w:pPr>
      <w:r>
        <w:rPr>
          <w:b/>
          <w:bCs/>
        </w:rPr>
        <w:t xml:space="preserve">Q6: What is the significance of</w:t>
      </w:r>
      <w:r>
        <w:rPr>
          <w:b/>
          <w:bCs/>
        </w:rPr>
        <w:t xml:space="preserve"> </w:t>
      </w:r>
      <w:r>
        <w:rPr>
          <w:b/>
          <w:bCs/>
        </w:rPr>
        <w:t xml:space="preserve">“coffee-ground”</w:t>
      </w:r>
      <w:r>
        <w:rPr>
          <w:b/>
          <w:bCs/>
        </w:rPr>
        <w:t xml:space="preserve"> </w:t>
      </w:r>
      <w:r>
        <w:rPr>
          <w:b/>
          <w:bCs/>
        </w:rPr>
        <w:t xml:space="preserve">emesis?</w:t>
      </w:r>
      <w:r>
        <w:t xml:space="preserve"> </w:t>
      </w:r>
      <w:r>
        <w:t xml:space="preserve">A: It suggests slower bleeding or that the bleeding has stopped, as blood has been oxidized by gastric acid (hematin).</w:t>
      </w:r>
    </w:p>
    <w:p>
      <w:pPr>
        <w:pStyle w:val="BodyText"/>
      </w:pPr>
      <w:r>
        <w:rPr>
          <w:b/>
          <w:bCs/>
        </w:rPr>
        <w:t xml:space="preserve">Q7: Which scoring system is used</w:t>
      </w:r>
      <w:r>
        <w:rPr>
          <w:b/>
          <w:bCs/>
        </w:rPr>
        <w:t xml:space="preserve"> </w:t>
      </w:r>
      <w:r>
        <w:rPr>
          <w:b/>
          <w:bCs/>
          <w:i/>
          <w:iCs/>
        </w:rPr>
        <w:t xml:space="preserve">at the bedside</w:t>
      </w:r>
      <w:r>
        <w:rPr>
          <w:b/>
          <w:bCs/>
        </w:rPr>
        <w:t xml:space="preserve"> </w:t>
      </w:r>
      <w:r>
        <w:rPr>
          <w:b/>
          <w:bCs/>
        </w:rPr>
        <w:t xml:space="preserve">to determine the need for intervention?</w:t>
      </w:r>
      <w:r>
        <w:t xml:space="preserve"> </w:t>
      </w:r>
      <w:r>
        <w:t xml:space="preserve">A: Glasgow-Blatchford Score (GBS).</w:t>
      </w:r>
    </w:p>
    <w:p>
      <w:pPr>
        <w:pStyle w:val="BodyText"/>
      </w:pPr>
      <w:r>
        <w:rPr>
          <w:b/>
          <w:bCs/>
        </w:rPr>
        <w:t xml:space="preserve">Q8: Does a history of AAA repair change your management of UGIB?</w:t>
      </w:r>
      <w:r>
        <w:t xml:space="preserve"> </w:t>
      </w:r>
      <w:r>
        <w:t xml:space="preserve">A: Yes, you must rule out an aorto-enteric fistula.</w:t>
      </w:r>
    </w:p>
    <w:p>
      <w:pPr>
        <w:pStyle w:val="BodyText"/>
      </w:pPr>
      <w:r>
        <w:rPr>
          <w:b/>
          <w:bCs/>
        </w:rPr>
        <w:t xml:space="preserve">Q9: What is the significance of syncope in a patient with GI bleeding?</w:t>
      </w:r>
      <w:r>
        <w:t xml:space="preserve"> </w:t>
      </w:r>
      <w:r>
        <w:t xml:space="preserve">A: Suggests significant volume loss (usually &gt;20% of circulating volume).</w:t>
      </w:r>
    </w:p>
    <w:p>
      <w:pPr>
        <w:pStyle w:val="BodyText"/>
      </w:pPr>
      <w:r>
        <w:rPr>
          <w:b/>
          <w:bCs/>
        </w:rPr>
        <w:t xml:space="preserve">Q10: How does aspirin use affect the risk of UGIB?</w:t>
      </w:r>
      <w:r>
        <w:t xml:space="preserve"> </w:t>
      </w:r>
      <w:r>
        <w:t xml:space="preserve">A: Increases risk of mucosal erosions and impairs platelet aggregation, making bleeding harder to control.</w:t>
      </w:r>
    </w:p>
    <w:p>
      <w:pPr>
        <w:pStyle w:val="BodyText"/>
      </w:pPr>
      <w:r>
        <w:rPr>
          <w:b/>
          <w:bCs/>
        </w:rPr>
        <w:t xml:space="preserve">Q11: What is the role of alcohol history in UGIB triage?</w:t>
      </w:r>
      <w:r>
        <w:t xml:space="preserve"> </w:t>
      </w:r>
      <w:r>
        <w:t xml:space="preserve">A: High suspicion for variceal bleeding or Mallory-Weiss tears.</w:t>
      </w:r>
    </w:p>
    <w:p>
      <w:pPr>
        <w:pStyle w:val="BodyText"/>
      </w:pPr>
      <w:r>
        <w:rPr>
          <w:b/>
          <w:bCs/>
        </w:rPr>
        <w:t xml:space="preserve">Q12: Is bright red blood in the stool always lower GI?</w:t>
      </w:r>
      <w:r>
        <w:t xml:space="preserve"> </w:t>
      </w:r>
      <w:r>
        <w:t xml:space="preserve">A: No, in the presence of shock, it may indicate a massive UGI bleed with rapid transit.</w:t>
      </w:r>
    </w:p>
    <w:p>
      <w:pPr>
        <w:pStyle w:val="BodyText"/>
      </w:pPr>
      <w:r>
        <w:rPr>
          <w:b/>
          <w:bCs/>
        </w:rPr>
        <w:t xml:space="preserve">Q13: What should you suspect in a patient with UGIB and a history of weight loss?</w:t>
      </w:r>
      <w:r>
        <w:t xml:space="preserve"> </w:t>
      </w:r>
      <w:r>
        <w:t xml:space="preserve">A: Gastric or esophageal malignancy.</w:t>
      </w:r>
    </w:p>
    <w:p>
      <w:pPr>
        <w:pStyle w:val="BodyText"/>
      </w:pPr>
      <w:r>
        <w:rPr>
          <w:b/>
          <w:bCs/>
        </w:rPr>
        <w:t xml:space="preserve">Q14: What is the definition of</w:t>
      </w:r>
      <w:r>
        <w:rPr>
          <w:b/>
          <w:bCs/>
        </w:rPr>
        <w:t xml:space="preserve"> </w:t>
      </w:r>
      <w:r>
        <w:rPr>
          <w:b/>
          <w:bCs/>
        </w:rPr>
        <w:t xml:space="preserve">“massive”</w:t>
      </w:r>
      <w:r>
        <w:rPr>
          <w:b/>
          <w:bCs/>
        </w:rPr>
        <w:t xml:space="preserve"> </w:t>
      </w:r>
      <w:r>
        <w:rPr>
          <w:b/>
          <w:bCs/>
        </w:rPr>
        <w:t xml:space="preserve">GI bleeding?</w:t>
      </w:r>
      <w:r>
        <w:t xml:space="preserve"> </w:t>
      </w:r>
      <w:r>
        <w:t xml:space="preserve">A: Loss of &gt;50% of blood volume within 24 hours or bleeding requiring &gt;4 units of PRBC in 24h.</w:t>
      </w:r>
    </w:p>
    <w:p>
      <w:pPr>
        <w:pStyle w:val="BodyText"/>
      </w:pPr>
      <w:r>
        <w:rPr>
          <w:b/>
          <w:bCs/>
        </w:rPr>
        <w:t xml:space="preserve">Q15: Does the absence of abdominal pain rule out PUD?</w:t>
      </w:r>
      <w:r>
        <w:t xml:space="preserve"> </w:t>
      </w:r>
      <w:r>
        <w:t xml:space="preserve">A: No, especially in elderly patients or those on steroids/NSAIDs.</w:t>
      </w:r>
    </w:p>
    <w:bookmarkEnd w:id="10"/>
    <w:bookmarkStart w:id="11" w:name="q16-q35-diagnostic-decision-making"/>
    <w:p>
      <w:pPr>
        <w:pStyle w:val="Heading3"/>
      </w:pPr>
      <w:r>
        <w:t xml:space="preserve">Q16-Q35: Diagnostic Decision Making</w:t>
      </w:r>
    </w:p>
    <w:p>
      <w:pPr>
        <w:pStyle w:val="FirstParagraph"/>
      </w:pPr>
      <w:r>
        <w:rPr>
          <w:b/>
          <w:bCs/>
        </w:rPr>
        <w:t xml:space="preserve">Q16: Which GBS score allows for safe discharge from the ED?</w:t>
      </w:r>
      <w:r>
        <w:t xml:space="preserve"> </w:t>
      </w:r>
      <w:r>
        <w:t xml:space="preserve">A: GBS of 0 or 1 (per BSG 2024 and ACG guidelines).</w:t>
      </w:r>
    </w:p>
    <w:p>
      <w:pPr>
        <w:pStyle w:val="BodyText"/>
      </w:pPr>
      <w:r>
        <w:rPr>
          <w:b/>
          <w:bCs/>
        </w:rPr>
        <w:t xml:space="preserve">Q17: What are the components of the Rockall Score?</w:t>
      </w:r>
      <w:r>
        <w:t xml:space="preserve"> </w:t>
      </w:r>
      <w:r>
        <w:t xml:space="preserve">A: Age, shock (HR/BP), comorbidity, diagnosis, and endoscopic stigmata.</w:t>
      </w:r>
    </w:p>
    <w:p>
      <w:pPr>
        <w:pStyle w:val="BodyText"/>
      </w:pPr>
      <w:r>
        <w:rPr>
          <w:b/>
          <w:bCs/>
        </w:rPr>
        <w:t xml:space="preserve">Q18: What is the primary limitation of the Rockall Score in the ED?</w:t>
      </w:r>
      <w:r>
        <w:t xml:space="preserve"> </w:t>
      </w:r>
      <w:r>
        <w:t xml:space="preserve">A: It requires endoscopic findings, so it cannot be fully calculated pre-endoscopy.</w:t>
      </w:r>
    </w:p>
    <w:p>
      <w:pPr>
        <w:pStyle w:val="BodyText"/>
      </w:pPr>
      <w:r>
        <w:rPr>
          <w:b/>
          <w:bCs/>
        </w:rPr>
        <w:t xml:space="preserve">Q19: What does the AIMS65 score stand for?</w:t>
      </w:r>
      <w:r>
        <w:t xml:space="preserve"> </w:t>
      </w:r>
      <w:r>
        <w:t xml:space="preserve">A: Albumin &lt;3.0, INR &gt;1.5, Mental status (GCS &lt;14), Systolic BP &lt;90, Age &gt;65.</w:t>
      </w:r>
    </w:p>
    <w:p>
      <w:pPr>
        <w:pStyle w:val="BodyText"/>
      </w:pPr>
      <w:r>
        <w:rPr>
          <w:b/>
          <w:bCs/>
        </w:rPr>
        <w:t xml:space="preserve">Q20: Is a nasogastric (NG) tube required for diagnosis of UGIB?</w:t>
      </w:r>
      <w:r>
        <w:t xml:space="preserve"> </w:t>
      </w:r>
      <w:r>
        <w:t xml:space="preserve">A: No, guidelines suggest it does not improve outcomes or change management in most cases.</w:t>
      </w:r>
    </w:p>
    <w:p>
      <w:pPr>
        <w:pStyle w:val="BodyText"/>
      </w:pPr>
      <w:r>
        <w:rPr>
          <w:b/>
          <w:bCs/>
        </w:rPr>
        <w:t xml:space="preserve">Q21: Can an NG aspirate reliably rule out an UGI source?</w:t>
      </w:r>
      <w:r>
        <w:t xml:space="preserve"> </w:t>
      </w:r>
      <w:r>
        <w:t xml:space="preserve">A: No, a negative aspirate (no blood/bile) has a 15-20% false negative rate for UGI bleeding.</w:t>
      </w:r>
    </w:p>
    <w:p>
      <w:pPr>
        <w:pStyle w:val="BodyText"/>
      </w:pPr>
      <w:r>
        <w:rPr>
          <w:b/>
          <w:bCs/>
        </w:rPr>
        <w:t xml:space="preserve">Q22: Why is the BUN/Creatinine ratio elevated in UGIB?</w:t>
      </w:r>
      <w:r>
        <w:t xml:space="preserve"> </w:t>
      </w:r>
      <w:r>
        <w:t xml:space="preserve">A: Digestion of blood (protein) and pre-renal azotemia from hypovolemia.</w:t>
      </w:r>
    </w:p>
    <w:p>
      <w:pPr>
        <w:pStyle w:val="BodyText"/>
      </w:pPr>
      <w:r>
        <w:rPr>
          <w:b/>
          <w:bCs/>
        </w:rPr>
        <w:t xml:space="preserve">Q23: What BUN/Cr ratio (in mg/dL) suggests an UGI source?</w:t>
      </w:r>
      <w:r>
        <w:t xml:space="preserve"> </w:t>
      </w:r>
      <w:r>
        <w:t xml:space="preserve">A: &gt;30 (or &gt;100 in SI units).</w:t>
      </w:r>
    </w:p>
    <w:p>
      <w:pPr>
        <w:pStyle w:val="BodyText"/>
      </w:pPr>
      <w:r>
        <w:rPr>
          <w:b/>
          <w:bCs/>
        </w:rPr>
        <w:t xml:space="preserve">Q24: What is the</w:t>
      </w:r>
      <w:r>
        <w:rPr>
          <w:b/>
          <w:bCs/>
        </w:rPr>
        <w:t xml:space="preserve"> </w:t>
      </w:r>
      <w:r>
        <w:rPr>
          <w:b/>
          <w:bCs/>
        </w:rPr>
        <w:t xml:space="preserve">“Rockall Post-Endoscopy”</w:t>
      </w:r>
      <w:r>
        <w:rPr>
          <w:b/>
          <w:bCs/>
        </w:rPr>
        <w:t xml:space="preserve"> </w:t>
      </w:r>
      <w:r>
        <w:rPr>
          <w:b/>
          <w:bCs/>
        </w:rPr>
        <w:t xml:space="preserve">score used for?</w:t>
      </w:r>
      <w:r>
        <w:t xml:space="preserve"> </w:t>
      </w:r>
      <w:r>
        <w:t xml:space="preserve">A: Predicting the risk of rebleeding and mortality.</w:t>
      </w:r>
    </w:p>
    <w:p>
      <w:pPr>
        <w:pStyle w:val="BodyText"/>
      </w:pPr>
      <w:r>
        <w:rPr>
          <w:b/>
          <w:bCs/>
        </w:rPr>
        <w:t xml:space="preserve">Q25: In a patient with occult GI bleeding, what is the first-line investigation?</w:t>
      </w:r>
      <w:r>
        <w:t xml:space="preserve"> </w:t>
      </w:r>
      <w:r>
        <w:t xml:space="preserve">A: Bidirectional endoscopy (OGD and Colonoscopy).</w:t>
      </w:r>
    </w:p>
    <w:p>
      <w:pPr>
        <w:pStyle w:val="BodyText"/>
      </w:pPr>
      <w:r>
        <w:rPr>
          <w:b/>
          <w:bCs/>
        </w:rPr>
        <w:t xml:space="preserve">Q26: When is CT Angiography (CTA) indicated in UGIB?</w:t>
      </w:r>
      <w:r>
        <w:t xml:space="preserve"> </w:t>
      </w:r>
      <w:r>
        <w:t xml:space="preserve">A: When endoscopy is unavailable or fails to identify a source in a hemodynamically unstable patient.</w:t>
      </w:r>
    </w:p>
    <w:p>
      <w:pPr>
        <w:pStyle w:val="BodyText"/>
      </w:pPr>
      <w:r>
        <w:rPr>
          <w:b/>
          <w:bCs/>
        </w:rPr>
        <w:t xml:space="preserve">Q27: What is the minimum bleeding rate required for a CTA to detect a leak?</w:t>
      </w:r>
      <w:r>
        <w:t xml:space="preserve"> </w:t>
      </w:r>
      <w:r>
        <w:t xml:space="preserve">A: 0.3 - 0.5 mL/min.</w:t>
      </w:r>
    </w:p>
    <w:p>
      <w:pPr>
        <w:pStyle w:val="BodyText"/>
      </w:pPr>
      <w:r>
        <w:rPr>
          <w:b/>
          <w:bCs/>
        </w:rPr>
        <w:t xml:space="preserve">Q28: What is the minimum bleeding rate for a Red Blood Cell Tagged Scan?</w:t>
      </w:r>
      <w:r>
        <w:t xml:space="preserve"> </w:t>
      </w:r>
      <w:r>
        <w:t xml:space="preserve">A: 0.1 mL/min.</w:t>
      </w:r>
    </w:p>
    <w:p>
      <w:pPr>
        <w:pStyle w:val="BodyText"/>
      </w:pPr>
      <w:r>
        <w:rPr>
          <w:b/>
          <w:bCs/>
        </w:rPr>
        <w:t xml:space="preserve">Q29: How does the GBS outperform the Rockall score in the ED?</w:t>
      </w:r>
      <w:r>
        <w:t xml:space="preserve"> </w:t>
      </w:r>
      <w:r>
        <w:t xml:space="preserve">A: It is better at predicting the need for clinical intervention (transfusion/endoscopy).</w:t>
      </w:r>
    </w:p>
    <w:p>
      <w:pPr>
        <w:pStyle w:val="BodyText"/>
      </w:pPr>
      <w:r>
        <w:rPr>
          <w:b/>
          <w:bCs/>
        </w:rPr>
        <w:t xml:space="preserve">Q30: Does a high GBS score (&gt;12) predict a higher risk of variceal bleeding?</w:t>
      </w:r>
      <w:r>
        <w:t xml:space="preserve"> </w:t>
      </w:r>
      <w:r>
        <w:t xml:space="preserve">A: Not specifically, it predicts the need for intervention generally.</w:t>
      </w:r>
    </w:p>
    <w:p>
      <w:pPr>
        <w:pStyle w:val="BodyText"/>
      </w:pPr>
      <w:r>
        <w:rPr>
          <w:b/>
          <w:bCs/>
        </w:rPr>
        <w:t xml:space="preserve">Q31: What is the role of bedside ultrasound (POCUS) in UGIB?</w:t>
      </w:r>
      <w:r>
        <w:t xml:space="preserve"> </w:t>
      </w:r>
      <w:r>
        <w:t xml:space="preserve">A: Assessing volume status (IVC diameter) and ruling out other causes of shock.</w:t>
      </w:r>
    </w:p>
    <w:p>
      <w:pPr>
        <w:pStyle w:val="BodyText"/>
      </w:pPr>
      <w:r>
        <w:rPr>
          <w:b/>
          <w:bCs/>
        </w:rPr>
        <w:t xml:space="preserve">Q32: Is lipase indicated in the workup of UGIB?</w:t>
      </w:r>
      <w:r>
        <w:t xml:space="preserve"> </w:t>
      </w:r>
      <w:r>
        <w:t xml:space="preserve">A: Yes, to rule out pancreatitis-related bleeding (e.g., splenic artery pseudoaneurysm).</w:t>
      </w:r>
    </w:p>
    <w:p>
      <w:pPr>
        <w:pStyle w:val="BodyText"/>
      </w:pPr>
      <w:r>
        <w:rPr>
          <w:b/>
          <w:bCs/>
        </w:rPr>
        <w:t xml:space="preserve">Q33: Should cardiac markers (Troponin) be drawn?</w:t>
      </w:r>
      <w:r>
        <w:t xml:space="preserve"> </w:t>
      </w:r>
      <w:r>
        <w:t xml:space="preserve">A: Yes, to screen for</w:t>
      </w:r>
      <w:r>
        <w:t xml:space="preserve"> </w:t>
      </w:r>
      <w:r>
        <w:t xml:space="preserve">“Type 2”</w:t>
      </w:r>
      <w:r>
        <w:t xml:space="preserve"> </w:t>
      </w:r>
      <w:r>
        <w:t xml:space="preserve">Myocardial Infarction due to anemia and tachycardia.</w:t>
      </w:r>
    </w:p>
    <w:p>
      <w:pPr>
        <w:pStyle w:val="BodyText"/>
      </w:pPr>
      <w:r>
        <w:rPr>
          <w:b/>
          <w:bCs/>
        </w:rPr>
        <w:t xml:space="preserve">Q34: What is the utility of Procalcitonin in UGIB?</w:t>
      </w:r>
      <w:r>
        <w:t xml:space="preserve"> </w:t>
      </w:r>
      <w:r>
        <w:t xml:space="preserve">A: Limited, unless a secondary infection is suspected (common in variceal bleeds).</w:t>
      </w:r>
    </w:p>
    <w:p>
      <w:pPr>
        <w:pStyle w:val="BodyText"/>
      </w:pPr>
      <w:r>
        <w:rPr>
          <w:b/>
          <w:bCs/>
        </w:rPr>
        <w:t xml:space="preserve">Q35: Can lactate levels guide management?</w:t>
      </w:r>
      <w:r>
        <w:t xml:space="preserve"> </w:t>
      </w:r>
      <w:r>
        <w:t xml:space="preserve">A: Yes, high lactate indicates tissue hypoperfusion and more aggressive resuscitation is needed.</w:t>
      </w:r>
    </w:p>
    <w:bookmarkEnd w:id="11"/>
    <w:bookmarkStart w:id="12" w:name="q36-q55-acute-ed-management"/>
    <w:p>
      <w:pPr>
        <w:pStyle w:val="Heading3"/>
      </w:pPr>
      <w:r>
        <w:t xml:space="preserve">Q36-Q55: Acute ED Management</w:t>
      </w:r>
    </w:p>
    <w:p>
      <w:pPr>
        <w:pStyle w:val="FirstParagraph"/>
      </w:pPr>
      <w:r>
        <w:rPr>
          <w:b/>
          <w:bCs/>
        </w:rPr>
        <w:t xml:space="preserve">Q36: What did the TRIGGER-V1 trial show regarding transfusion thresholds?</w:t>
      </w:r>
      <w:r>
        <w:t xml:space="preserve"> </w:t>
      </w:r>
      <w:r>
        <w:t xml:space="preserve">A: A restrictive strategy (transfuse &lt;7 g/dL) is safe and may improve outcomes compared to liberal (&gt;9 g/dL).</w:t>
      </w:r>
    </w:p>
    <w:p>
      <w:pPr>
        <w:pStyle w:val="BodyText"/>
      </w:pPr>
      <w:r>
        <w:rPr>
          <w:b/>
          <w:bCs/>
        </w:rPr>
        <w:t xml:space="preserve">Q37: What is the transfusion target for a patient with stable UGIB?</w:t>
      </w:r>
      <w:r>
        <w:t xml:space="preserve"> </w:t>
      </w:r>
      <w:r>
        <w:t xml:space="preserve">A: Hb 7-9 g/dL.</w:t>
      </w:r>
    </w:p>
    <w:p>
      <w:pPr>
        <w:pStyle w:val="BodyText"/>
      </w:pPr>
      <w:r>
        <w:rPr>
          <w:b/>
          <w:bCs/>
        </w:rPr>
        <w:t xml:space="preserve">Q38: What is the transfusion target for a patient with UGIB and active ischemic heart disease?</w:t>
      </w:r>
      <w:r>
        <w:t xml:space="preserve"> </w:t>
      </w:r>
      <w:r>
        <w:t xml:space="preserve">A: Hb 8-10 g/dL.</w:t>
      </w:r>
    </w:p>
    <w:p>
      <w:pPr>
        <w:pStyle w:val="BodyText"/>
      </w:pPr>
      <w:r>
        <w:rPr>
          <w:b/>
          <w:bCs/>
        </w:rPr>
        <w:t xml:space="preserve">Q39: Why is</w:t>
      </w:r>
      <w:r>
        <w:rPr>
          <w:b/>
          <w:bCs/>
        </w:rPr>
        <w:t xml:space="preserve"> </w:t>
      </w:r>
      <w:r>
        <w:rPr>
          <w:b/>
          <w:bCs/>
        </w:rPr>
        <w:t xml:space="preserve">“over-transfusion”</w:t>
      </w:r>
      <w:r>
        <w:rPr>
          <w:b/>
          <w:bCs/>
        </w:rPr>
        <w:t xml:space="preserve"> </w:t>
      </w:r>
      <w:r>
        <w:rPr>
          <w:b/>
          <w:bCs/>
        </w:rPr>
        <w:t xml:space="preserve">dangerous in variceal bleeding?</w:t>
      </w:r>
      <w:r>
        <w:t xml:space="preserve"> </w:t>
      </w:r>
      <w:r>
        <w:t xml:space="preserve">A: It increases portal pressure and risk of rebleeding.</w:t>
      </w:r>
    </w:p>
    <w:p>
      <w:pPr>
        <w:pStyle w:val="BodyText"/>
      </w:pPr>
      <w:r>
        <w:rPr>
          <w:b/>
          <w:bCs/>
        </w:rPr>
        <w:t xml:space="preserve">Q40: Is there a benefit to starting a PPI</w:t>
      </w:r>
      <w:r>
        <w:rPr>
          <w:b/>
          <w:bCs/>
        </w:rPr>
        <w:t xml:space="preserve"> </w:t>
      </w:r>
      <w:r>
        <w:rPr>
          <w:b/>
          <w:bCs/>
          <w:i/>
          <w:iCs/>
        </w:rPr>
        <w:t xml:space="preserve">before</w:t>
      </w:r>
      <w:r>
        <w:rPr>
          <w:b/>
          <w:bCs/>
        </w:rPr>
        <w:t xml:space="preserve"> </w:t>
      </w:r>
      <w:r>
        <w:rPr>
          <w:b/>
          <w:bCs/>
        </w:rPr>
        <w:t xml:space="preserve">endoscopy?</w:t>
      </w:r>
      <w:r>
        <w:t xml:space="preserve"> </w:t>
      </w:r>
      <w:r>
        <w:t xml:space="preserve">A: It reduces the need for endoscopic therapy (downgrades stigmata) but does not improve mortality.</w:t>
      </w:r>
    </w:p>
    <w:p>
      <w:pPr>
        <w:pStyle w:val="BodyText"/>
      </w:pPr>
      <w:r>
        <w:rPr>
          <w:b/>
          <w:bCs/>
        </w:rPr>
        <w:t xml:space="preserve">Q41: What is the recommended pre-endoscopy PPI dose?</w:t>
      </w:r>
      <w:r>
        <w:t xml:space="preserve"> </w:t>
      </w:r>
      <w:r>
        <w:t xml:space="preserve">A: 80mg IV bolus of Omeprazole/Pantoprazole.</w:t>
      </w:r>
    </w:p>
    <w:p>
      <w:pPr>
        <w:pStyle w:val="BodyText"/>
      </w:pPr>
      <w:r>
        <w:rPr>
          <w:b/>
          <w:bCs/>
        </w:rPr>
        <w:t xml:space="preserve">Q42: Is an IV PPI infusion (8mg/h) superior to intermittent boluses (40mg BID)?</w:t>
      </w:r>
      <w:r>
        <w:t xml:space="preserve"> </w:t>
      </w:r>
      <w:r>
        <w:t xml:space="preserve">A: Recent meta-analyses (and BSG 2024) suggest intermittent boluses are non-inferior and more cost-effective.</w:t>
      </w:r>
    </w:p>
    <w:p>
      <w:pPr>
        <w:pStyle w:val="BodyText"/>
      </w:pPr>
      <w:r>
        <w:rPr>
          <w:b/>
          <w:bCs/>
        </w:rPr>
        <w:t xml:space="preserve">Q43: What is the</w:t>
      </w:r>
      <w:r>
        <w:rPr>
          <w:b/>
          <w:bCs/>
        </w:rPr>
        <w:t xml:space="preserve"> </w:t>
      </w:r>
      <w:r>
        <w:rPr>
          <w:b/>
          <w:bCs/>
        </w:rPr>
        <w:t xml:space="preserve">“Forrest Classification”</w:t>
      </w:r>
      <w:r>
        <w:rPr>
          <w:b/>
          <w:bCs/>
        </w:rPr>
        <w:t xml:space="preserve"> </w:t>
      </w:r>
      <w:r>
        <w:rPr>
          <w:b/>
          <w:bCs/>
        </w:rPr>
        <w:t xml:space="preserve">used for?</w:t>
      </w:r>
      <w:r>
        <w:t xml:space="preserve"> </w:t>
      </w:r>
      <w:r>
        <w:t xml:space="preserve">A: Classifying peptic ulcers by their risk of rebleeding.</w:t>
      </w:r>
    </w:p>
    <w:p>
      <w:pPr>
        <w:pStyle w:val="BodyText"/>
      </w:pPr>
      <w:r>
        <w:rPr>
          <w:b/>
          <w:bCs/>
        </w:rPr>
        <w:t xml:space="preserve">Q44: Which Forrest class requires high-dose IV PPI for 72 hours?</w:t>
      </w:r>
      <w:r>
        <w:t xml:space="preserve"> </w:t>
      </w:r>
      <w:r>
        <w:t xml:space="preserve">A: Forrest Ia (spurter), Ib (oozer), and IIa (visible vessel).</w:t>
      </w:r>
    </w:p>
    <w:p>
      <w:pPr>
        <w:pStyle w:val="BodyText"/>
      </w:pPr>
      <w:r>
        <w:rPr>
          <w:b/>
          <w:bCs/>
        </w:rPr>
        <w:t xml:space="preserve">Q45: For a Forrest IIc (flat spot) or III (clean base), what is the PPI management?</w:t>
      </w:r>
      <w:r>
        <w:t xml:space="preserve"> </w:t>
      </w:r>
      <w:r>
        <w:t xml:space="preserve">A: Oral PPI, usually once or twice daily.</w:t>
      </w:r>
    </w:p>
    <w:p>
      <w:pPr>
        <w:pStyle w:val="BodyText"/>
      </w:pPr>
      <w:r>
        <w:rPr>
          <w:b/>
          <w:bCs/>
        </w:rPr>
        <w:t xml:space="preserve">Q46: Should Erythromycin be used before endoscopy?</w:t>
      </w:r>
      <w:r>
        <w:t xml:space="preserve"> </w:t>
      </w:r>
      <w:r>
        <w:t xml:space="preserve">A: Yes (250mg IV 30-90 mins before), to improve visualization by clearing blood from the stomach.</w:t>
      </w:r>
    </w:p>
    <w:p>
      <w:pPr>
        <w:pStyle w:val="BodyText"/>
      </w:pPr>
      <w:r>
        <w:rPr>
          <w:b/>
          <w:bCs/>
        </w:rPr>
        <w:t xml:space="preserve">Q47: Does Metoclopramide work as well as Erythromycin for gastric emptying?</w:t>
      </w:r>
      <w:r>
        <w:t xml:space="preserve"> </w:t>
      </w:r>
      <w:r>
        <w:t xml:space="preserve">A: It is less effective than Erythromycin for this specific indication.</w:t>
      </w:r>
    </w:p>
    <w:p>
      <w:pPr>
        <w:pStyle w:val="BodyText"/>
      </w:pPr>
      <w:r>
        <w:rPr>
          <w:b/>
          <w:bCs/>
        </w:rPr>
        <w:t xml:space="preserve">Q48: What is the role of Tranexamic Acid (TXA) in UGIB based on the HALT-IT trial?</w:t>
      </w:r>
      <w:r>
        <w:t xml:space="preserve"> </w:t>
      </w:r>
      <w:r>
        <w:t xml:space="preserve">A: TXA should NOT be used; it showed no mortality benefit and increased risk of venous thromboembolism.</w:t>
      </w:r>
    </w:p>
    <w:p>
      <w:pPr>
        <w:pStyle w:val="BodyText"/>
      </w:pPr>
      <w:r>
        <w:rPr>
          <w:b/>
          <w:bCs/>
        </w:rPr>
        <w:t xml:space="preserve">Q49: How should you manage a patient on Warfarin with an INR of 4.0 and active UGIB?</w:t>
      </w:r>
      <w:r>
        <w:t xml:space="preserve"> </w:t>
      </w:r>
      <w:r>
        <w:t xml:space="preserve">A: Reverse with Prothrombin Complex Concentrate (PCC) and Vitamin K 10mg IV.</w:t>
      </w:r>
    </w:p>
    <w:p>
      <w:pPr>
        <w:pStyle w:val="BodyText"/>
      </w:pPr>
      <w:r>
        <w:rPr>
          <w:b/>
          <w:bCs/>
        </w:rPr>
        <w:t xml:space="preserve">Q50: At what INR level can endoscopy safely be performed?</w:t>
      </w:r>
      <w:r>
        <w:t xml:space="preserve"> </w:t>
      </w:r>
      <w:r>
        <w:t xml:space="preserve">A: Usually &lt;2.5, but for life-threatening bleeding, endoscopy should proceed regardless of INR.</w:t>
      </w:r>
    </w:p>
    <w:p>
      <w:pPr>
        <w:pStyle w:val="BodyText"/>
      </w:pPr>
      <w:r>
        <w:rPr>
          <w:b/>
          <w:bCs/>
        </w:rPr>
        <w:t xml:space="preserve">Q51: When should platelets be transfused in UGIB?</w:t>
      </w:r>
      <w:r>
        <w:t xml:space="preserve"> </w:t>
      </w:r>
      <w:r>
        <w:t xml:space="preserve">A: If the count is &lt;50,000/µL.</w:t>
      </w:r>
    </w:p>
    <w:p>
      <w:pPr>
        <w:pStyle w:val="BodyText"/>
      </w:pPr>
      <w:r>
        <w:rPr>
          <w:b/>
          <w:bCs/>
        </w:rPr>
        <w:t xml:space="preserve">Q52: Is there a role for FFP in non-variceal bleeding?</w:t>
      </w:r>
      <w:r>
        <w:t xml:space="preserve"> </w:t>
      </w:r>
      <w:r>
        <w:t xml:space="preserve">A: Only if the PT/INR is significantly deranged (&gt;1.5-2.0).</w:t>
      </w:r>
    </w:p>
    <w:p>
      <w:pPr>
        <w:pStyle w:val="BodyText"/>
      </w:pPr>
      <w:r>
        <w:rPr>
          <w:b/>
          <w:bCs/>
        </w:rPr>
        <w:t xml:space="preserve">Q53: Should PPIs be used if a variceal bleed is suspected?</w:t>
      </w:r>
      <w:r>
        <w:t xml:space="preserve"> </w:t>
      </w:r>
      <w:r>
        <w:t xml:space="preserve">A: They are often started empirically, but they do not treat the variceal bleed itself.</w:t>
      </w:r>
    </w:p>
    <w:p>
      <w:pPr>
        <w:pStyle w:val="BodyText"/>
      </w:pPr>
      <w:r>
        <w:rPr>
          <w:b/>
          <w:bCs/>
        </w:rPr>
        <w:t xml:space="preserve">Q54: What is the primary cause of death in UGIB?</w:t>
      </w:r>
      <w:r>
        <w:t xml:space="preserve"> </w:t>
      </w:r>
      <w:r>
        <w:t xml:space="preserve">A: Exacerbation of comorbidities (e.g., MI, heart failure) rather than exsanguination itself.</w:t>
      </w:r>
    </w:p>
    <w:p>
      <w:pPr>
        <w:pStyle w:val="BodyText"/>
      </w:pPr>
      <w:r>
        <w:rPr>
          <w:b/>
          <w:bCs/>
        </w:rPr>
        <w:t xml:space="preserve">Q55: What is the</w:t>
      </w:r>
      <w:r>
        <w:rPr>
          <w:b/>
          <w:bCs/>
        </w:rPr>
        <w:t xml:space="preserve"> </w:t>
      </w:r>
      <w:r>
        <w:rPr>
          <w:b/>
          <w:bCs/>
        </w:rPr>
        <w:t xml:space="preserve">“Restrictive”</w:t>
      </w:r>
      <w:r>
        <w:rPr>
          <w:b/>
          <w:bCs/>
        </w:rPr>
        <w:t xml:space="preserve"> </w:t>
      </w:r>
      <w:r>
        <w:rPr>
          <w:b/>
          <w:bCs/>
        </w:rPr>
        <w:t xml:space="preserve">strategy Hb goal in the 2024 ACG guidelines?</w:t>
      </w:r>
      <w:r>
        <w:t xml:space="preserve"> </w:t>
      </w:r>
      <w:r>
        <w:t xml:space="preserve">A: Target Hb of 7-9 g/dL.</w:t>
      </w:r>
    </w:p>
    <w:bookmarkEnd w:id="12"/>
    <w:bookmarkStart w:id="13" w:name="q56-q75-the-variceal-emergency"/>
    <w:p>
      <w:pPr>
        <w:pStyle w:val="Heading3"/>
      </w:pPr>
      <w:r>
        <w:t xml:space="preserve">Q56-Q75: The Variceal Emergency</w:t>
      </w:r>
    </w:p>
    <w:p>
      <w:pPr>
        <w:pStyle w:val="FirstParagraph"/>
      </w:pPr>
      <w:r>
        <w:rPr>
          <w:b/>
          <w:bCs/>
        </w:rPr>
        <w:t xml:space="preserve">Q56: When should vasoactive drugs (Terlipressin/Octreotide) be started?</w:t>
      </w:r>
      <w:r>
        <w:t xml:space="preserve"> </w:t>
      </w:r>
      <w:r>
        <w:t xml:space="preserve">A: Immediately upon suspicion of variceal bleeding, before endoscopy.</w:t>
      </w:r>
    </w:p>
    <w:p>
      <w:pPr>
        <w:pStyle w:val="BodyText"/>
      </w:pPr>
      <w:r>
        <w:rPr>
          <w:b/>
          <w:bCs/>
        </w:rPr>
        <w:t xml:space="preserve">Q57: How long should Terlipressin be continued after successful banding?</w:t>
      </w:r>
      <w:r>
        <w:t xml:space="preserve"> </w:t>
      </w:r>
      <w:r>
        <w:t xml:space="preserve">A: 2 to 5 days.</w:t>
      </w:r>
    </w:p>
    <w:p>
      <w:pPr>
        <w:pStyle w:val="BodyText"/>
      </w:pPr>
      <w:r>
        <w:rPr>
          <w:b/>
          <w:bCs/>
        </w:rPr>
        <w:t xml:space="preserve">Q58: What is the dose of IV Terlipressin?</w:t>
      </w:r>
      <w:r>
        <w:t xml:space="preserve"> </w:t>
      </w:r>
      <w:r>
        <w:t xml:space="preserve">A: 2mg every 4 hours initially, titrated down once bleeding is controlled.</w:t>
      </w:r>
    </w:p>
    <w:p>
      <w:pPr>
        <w:pStyle w:val="BodyText"/>
      </w:pPr>
      <w:r>
        <w:rPr>
          <w:b/>
          <w:bCs/>
        </w:rPr>
        <w:t xml:space="preserve">Q59: What is the dose of IV Octreotide?</w:t>
      </w:r>
      <w:r>
        <w:t xml:space="preserve"> </w:t>
      </w:r>
      <w:r>
        <w:t xml:space="preserve">A: 50mcg bolus followed by 50mcg/hr infusion.</w:t>
      </w:r>
    </w:p>
    <w:p>
      <w:pPr>
        <w:pStyle w:val="BodyText"/>
      </w:pPr>
      <w:r>
        <w:rPr>
          <w:b/>
          <w:bCs/>
        </w:rPr>
        <w:t xml:space="preserve">Q60: Why is Ceftriaxone mandatory in cirrhotics with UGIB?</w:t>
      </w:r>
      <w:r>
        <w:t xml:space="preserve"> </w:t>
      </w:r>
      <w:r>
        <w:t xml:space="preserve">A: Reduces risk of spontaneous bacterial peritonitis (SBP), rebleeding, and mortality.</w:t>
      </w:r>
    </w:p>
    <w:p>
      <w:pPr>
        <w:pStyle w:val="BodyText"/>
      </w:pPr>
      <w:r>
        <w:rPr>
          <w:b/>
          <w:bCs/>
        </w:rPr>
        <w:t xml:space="preserve">Q61: What is the duration of antibiotic prophylaxis in variceal bleeding?</w:t>
      </w:r>
      <w:r>
        <w:t xml:space="preserve"> </w:t>
      </w:r>
      <w:r>
        <w:t xml:space="preserve">A: 7 days.</w:t>
      </w:r>
    </w:p>
    <w:p>
      <w:pPr>
        <w:pStyle w:val="BodyText"/>
      </w:pPr>
      <w:r>
        <w:rPr>
          <w:b/>
          <w:bCs/>
        </w:rPr>
        <w:t xml:space="preserve">Q62: Which is preferred for variceal hemostasis: EVL or sclerotherapy?</w:t>
      </w:r>
      <w:r>
        <w:t xml:space="preserve"> </w:t>
      </w:r>
      <w:r>
        <w:t xml:space="preserve">A: Endoscopic Variceal Ligation (EVL) is superior with fewer complications.</w:t>
      </w:r>
    </w:p>
    <w:p>
      <w:pPr>
        <w:pStyle w:val="BodyText"/>
      </w:pPr>
      <w:r>
        <w:rPr>
          <w:b/>
          <w:bCs/>
        </w:rPr>
        <w:t xml:space="preserve">Q63: What should you do if EVL is technically impossible?</w:t>
      </w:r>
      <w:r>
        <w:t xml:space="preserve"> </w:t>
      </w:r>
      <w:r>
        <w:t xml:space="preserve">A: Consider Sengstaken-Blakemore (SB) tube or Minnesota tube as a bridge to TIPS.</w:t>
      </w:r>
    </w:p>
    <w:p>
      <w:pPr>
        <w:pStyle w:val="BodyText"/>
      </w:pPr>
      <w:r>
        <w:rPr>
          <w:b/>
          <w:bCs/>
        </w:rPr>
        <w:t xml:space="preserve">Q64: How long can an SB tube be left in place?</w:t>
      </w:r>
      <w:r>
        <w:t xml:space="preserve"> </w:t>
      </w:r>
      <w:r>
        <w:t xml:space="preserve">A: Max 24 hours (risk of esophageal necrosis).</w:t>
      </w:r>
    </w:p>
    <w:p>
      <w:pPr>
        <w:pStyle w:val="BodyText"/>
      </w:pPr>
      <w:r>
        <w:rPr>
          <w:b/>
          <w:bCs/>
        </w:rPr>
        <w:t xml:space="preserve">Q65: What is the pressure limit for the gastric balloon in an SB tube?</w:t>
      </w:r>
      <w:r>
        <w:t xml:space="preserve"> </w:t>
      </w:r>
      <w:r>
        <w:t xml:space="preserve">A: It’s volume-based (usually 250-300mL air), but the esophageal balloon is pressure-based (30-45 mmHg).</w:t>
      </w:r>
    </w:p>
    <w:p>
      <w:pPr>
        <w:pStyle w:val="BodyText"/>
      </w:pPr>
      <w:r>
        <w:rPr>
          <w:b/>
          <w:bCs/>
        </w:rPr>
        <w:t xml:space="preserve">Q66: What is a</w:t>
      </w:r>
      <w:r>
        <w:rPr>
          <w:b/>
          <w:bCs/>
        </w:rPr>
        <w:t xml:space="preserve"> </w:t>
      </w:r>
      <w:r>
        <w:rPr>
          <w:b/>
          <w:bCs/>
        </w:rPr>
        <w:t xml:space="preserve">“Linton-Nachlas”</w:t>
      </w:r>
      <w:r>
        <w:rPr>
          <w:b/>
          <w:bCs/>
        </w:rPr>
        <w:t xml:space="preserve"> </w:t>
      </w:r>
      <w:r>
        <w:rPr>
          <w:b/>
          <w:bCs/>
        </w:rPr>
        <w:t xml:space="preserve">tube used for?</w:t>
      </w:r>
      <w:r>
        <w:t xml:space="preserve"> </w:t>
      </w:r>
      <w:r>
        <w:t xml:space="preserve">A: Specifically for gastric variceal bleeding (single large gastric balloon).</w:t>
      </w:r>
    </w:p>
    <w:p>
      <w:pPr>
        <w:pStyle w:val="BodyText"/>
      </w:pPr>
      <w:r>
        <w:rPr>
          <w:b/>
          <w:bCs/>
        </w:rPr>
        <w:t xml:space="preserve">Q67: When is</w:t>
      </w:r>
      <w:r>
        <w:rPr>
          <w:b/>
          <w:bCs/>
        </w:rPr>
        <w:t xml:space="preserve"> </w:t>
      </w:r>
      <w:r>
        <w:rPr>
          <w:b/>
          <w:bCs/>
        </w:rPr>
        <w:t xml:space="preserve">“Early TIPS”</w:t>
      </w:r>
      <w:r>
        <w:rPr>
          <w:b/>
          <w:bCs/>
        </w:rPr>
        <w:t xml:space="preserve"> </w:t>
      </w:r>
      <w:r>
        <w:rPr>
          <w:b/>
          <w:bCs/>
        </w:rPr>
        <w:t xml:space="preserve">(within 72h) indicated?</w:t>
      </w:r>
      <w:r>
        <w:t xml:space="preserve"> </w:t>
      </w:r>
      <w:r>
        <w:t xml:space="preserve">A: In</w:t>
      </w:r>
      <w:r>
        <w:t xml:space="preserve"> </w:t>
      </w:r>
      <w:r>
        <w:t xml:space="preserve">“high-risk”</w:t>
      </w:r>
      <w:r>
        <w:t xml:space="preserve"> </w:t>
      </w:r>
      <w:r>
        <w:t xml:space="preserve">patients: Child-Pugh C or Child-Pugh B with active bleeding.</w:t>
      </w:r>
    </w:p>
    <w:p>
      <w:pPr>
        <w:pStyle w:val="BodyText"/>
      </w:pPr>
      <w:r>
        <w:rPr>
          <w:b/>
          <w:bCs/>
        </w:rPr>
        <w:t xml:space="preserve">Q68: What is the definitive treatment for refractory variceal bleeding?</w:t>
      </w:r>
      <w:r>
        <w:t xml:space="preserve"> </w:t>
      </w:r>
      <w:r>
        <w:t xml:space="preserve">A: TIPS (Transjugular Intrahepatic Portosystemic Shunt).</w:t>
      </w:r>
    </w:p>
    <w:p>
      <w:pPr>
        <w:pStyle w:val="BodyText"/>
      </w:pPr>
      <w:r>
        <w:rPr>
          <w:b/>
          <w:bCs/>
        </w:rPr>
        <w:t xml:space="preserve">Q69: How do you treat gastric varices (GOV2/IGV1)?</w:t>
      </w:r>
      <w:r>
        <w:t xml:space="preserve"> </w:t>
      </w:r>
      <w:r>
        <w:t xml:space="preserve">A: Cyanoacrylate glue injection is preferred over banding.</w:t>
      </w:r>
    </w:p>
    <w:p>
      <w:pPr>
        <w:pStyle w:val="BodyText"/>
      </w:pPr>
      <w:r>
        <w:rPr>
          <w:b/>
          <w:bCs/>
        </w:rPr>
        <w:t xml:space="preserve">Q70: What is the</w:t>
      </w:r>
      <w:r>
        <w:rPr>
          <w:b/>
          <w:bCs/>
        </w:rPr>
        <w:t xml:space="preserve"> </w:t>
      </w:r>
      <w:r>
        <w:rPr>
          <w:b/>
          <w:bCs/>
        </w:rPr>
        <w:t xml:space="preserve">“Baveno VII”</w:t>
      </w:r>
      <w:r>
        <w:rPr>
          <w:b/>
          <w:bCs/>
        </w:rPr>
        <w:t xml:space="preserve"> </w:t>
      </w:r>
      <w:r>
        <w:rPr>
          <w:b/>
          <w:bCs/>
        </w:rPr>
        <w:t xml:space="preserve">recommendation for beta-blockers after bleeding?</w:t>
      </w:r>
      <w:r>
        <w:t xml:space="preserve"> </w:t>
      </w:r>
      <w:r>
        <w:t xml:space="preserve">A: Non-selective beta-blockers (Carvedilol preferred) should be started for secondary prophylaxis.</w:t>
      </w:r>
    </w:p>
    <w:p>
      <w:pPr>
        <w:pStyle w:val="BodyText"/>
      </w:pPr>
      <w:r>
        <w:rPr>
          <w:b/>
          <w:bCs/>
        </w:rPr>
        <w:t xml:space="preserve">Q71: Can you use Propranolol instead of Carvedilol?</w:t>
      </w:r>
      <w:r>
        <w:t xml:space="preserve"> </w:t>
      </w:r>
      <w:r>
        <w:t xml:space="preserve">A: Yes, but Carvedilol is more effective at reducing portal pressure.</w:t>
      </w:r>
    </w:p>
    <w:p>
      <w:pPr>
        <w:pStyle w:val="BodyText"/>
      </w:pPr>
      <w:r>
        <w:rPr>
          <w:b/>
          <w:bCs/>
        </w:rPr>
        <w:t xml:space="preserve">Q72: What is the significance of the Hepatic Venous Pressure Gradient (HVPG)?</w:t>
      </w:r>
      <w:r>
        <w:t xml:space="preserve"> </w:t>
      </w:r>
      <w:r>
        <w:t xml:space="preserve">A: &gt;12 mmHg is required for variceal bleeding; &gt;20 mmHg predicts failure of medical therapy.</w:t>
      </w:r>
    </w:p>
    <w:p>
      <w:pPr>
        <w:pStyle w:val="BodyText"/>
      </w:pPr>
      <w:r>
        <w:rPr>
          <w:b/>
          <w:bCs/>
        </w:rPr>
        <w:t xml:space="preserve">Q73: Is there a role for Vitamin K in variceal bleeding?</w:t>
      </w:r>
      <w:r>
        <w:t xml:space="preserve"> </w:t>
      </w:r>
      <w:r>
        <w:t xml:space="preserve">A: Yes, if there is suspected Vitamin K deficiency, but it won’t correct INR quickly.</w:t>
      </w:r>
    </w:p>
    <w:p>
      <w:pPr>
        <w:pStyle w:val="BodyText"/>
      </w:pPr>
      <w:r>
        <w:rPr>
          <w:b/>
          <w:bCs/>
        </w:rPr>
        <w:t xml:space="preserve">Q74: Should you use rFVIIa (NovoSeven) in variceal bleeding?</w:t>
      </w:r>
      <w:r>
        <w:t xml:space="preserve"> </w:t>
      </w:r>
      <w:r>
        <w:t xml:space="preserve">A: No, it has not shown benefit and is very expensive.</w:t>
      </w:r>
    </w:p>
    <w:p>
      <w:pPr>
        <w:pStyle w:val="BodyText"/>
      </w:pPr>
      <w:r>
        <w:rPr>
          <w:b/>
          <w:bCs/>
        </w:rPr>
        <w:t xml:space="preserve">Q75: What is the mortality rate of a first variceal bleed?</w:t>
      </w:r>
      <w:r>
        <w:t xml:space="preserve"> </w:t>
      </w:r>
      <w:r>
        <w:t xml:space="preserve">A: Approximately 15-20%.</w:t>
      </w:r>
    </w:p>
    <w:bookmarkEnd w:id="13"/>
    <w:bookmarkStart w:id="14" w:name="q76-q90-definitive-repair"/>
    <w:p>
      <w:pPr>
        <w:pStyle w:val="Heading3"/>
      </w:pPr>
      <w:r>
        <w:t xml:space="preserve">Q76-Q90: Definitive Repair</w:t>
      </w:r>
    </w:p>
    <w:p>
      <w:pPr>
        <w:pStyle w:val="FirstParagraph"/>
      </w:pPr>
      <w:r>
        <w:rPr>
          <w:b/>
          <w:bCs/>
        </w:rPr>
        <w:t xml:space="preserve">Q76: What is the definition of</w:t>
      </w:r>
      <w:r>
        <w:rPr>
          <w:b/>
          <w:bCs/>
        </w:rPr>
        <w:t xml:space="preserve"> </w:t>
      </w:r>
      <w:r>
        <w:rPr>
          <w:b/>
          <w:bCs/>
        </w:rPr>
        <w:t xml:space="preserve">“Urgent Endoscopy”</w:t>
      </w:r>
      <w:r>
        <w:rPr>
          <w:b/>
          <w:bCs/>
        </w:rPr>
        <w:t xml:space="preserve">?</w:t>
      </w:r>
      <w:r>
        <w:t xml:space="preserve"> </w:t>
      </w:r>
      <w:r>
        <w:t xml:space="preserve">A: Within 24 hours of presentation.</w:t>
      </w:r>
    </w:p>
    <w:p>
      <w:pPr>
        <w:pStyle w:val="BodyText"/>
      </w:pPr>
      <w:r>
        <w:rPr>
          <w:b/>
          <w:bCs/>
        </w:rPr>
        <w:t xml:space="preserve">Q77: Should endoscopy be performed within 6 hours for stable patients?</w:t>
      </w:r>
      <w:r>
        <w:t xml:space="preserve"> </w:t>
      </w:r>
      <w:r>
        <w:t xml:space="preserve">A: No, the V-UP trial showed no benefit for &lt;6h vs. &lt;24h in hemodynamically stable patients.</w:t>
      </w:r>
    </w:p>
    <w:p>
      <w:pPr>
        <w:pStyle w:val="BodyText"/>
      </w:pPr>
      <w:r>
        <w:rPr>
          <w:b/>
          <w:bCs/>
        </w:rPr>
        <w:t xml:space="preserve">Q78: When is &lt;6h endoscopy mandatory?</w:t>
      </w:r>
      <w:r>
        <w:t xml:space="preserve"> </w:t>
      </w:r>
      <w:r>
        <w:t xml:space="preserve">A: In patients with refractory shock or</w:t>
      </w:r>
      <w:r>
        <w:t xml:space="preserve"> </w:t>
      </w:r>
      <w:r>
        <w:t xml:space="preserve">“exsanguinating”</w:t>
      </w:r>
      <w:r>
        <w:t xml:space="preserve"> </w:t>
      </w:r>
      <w:r>
        <w:t xml:space="preserve">bleeding.</w:t>
      </w:r>
    </w:p>
    <w:p>
      <w:pPr>
        <w:pStyle w:val="BodyText"/>
      </w:pPr>
      <w:r>
        <w:rPr>
          <w:b/>
          <w:bCs/>
        </w:rPr>
        <w:t xml:space="preserve">Q79: What are the three main endoscopic therapies for PUD?</w:t>
      </w:r>
      <w:r>
        <w:t xml:space="preserve"> </w:t>
      </w:r>
      <w:r>
        <w:t xml:space="preserve">A: Thermal (bipolar probe), Mechanical (clips), and Injection (Epinephrine).</w:t>
      </w:r>
    </w:p>
    <w:p>
      <w:pPr>
        <w:pStyle w:val="BodyText"/>
      </w:pPr>
      <w:r>
        <w:rPr>
          <w:b/>
          <w:bCs/>
        </w:rPr>
        <w:t xml:space="preserve">Q80: Is Epinephrine injection alone sufficient for Forrest Ia/Ib ulcers?</w:t>
      </w:r>
      <w:r>
        <w:t xml:space="preserve"> </w:t>
      </w:r>
      <w:r>
        <w:t xml:space="preserve">A: No, it must be combined with a second modality (clip or thermal).</w:t>
      </w:r>
    </w:p>
    <w:p>
      <w:pPr>
        <w:pStyle w:val="BodyText"/>
      </w:pPr>
      <w:r>
        <w:rPr>
          <w:b/>
          <w:bCs/>
        </w:rPr>
        <w:t xml:space="preserve">Q81: What is</w:t>
      </w:r>
      <w:r>
        <w:rPr>
          <w:b/>
          <w:bCs/>
        </w:rPr>
        <w:t xml:space="preserve"> </w:t>
      </w:r>
      <w:r>
        <w:rPr>
          <w:b/>
          <w:bCs/>
        </w:rPr>
        <w:t xml:space="preserve">“Hemospray”</w:t>
      </w:r>
      <w:r>
        <w:rPr>
          <w:b/>
          <w:bCs/>
        </w:rPr>
        <w:t xml:space="preserve"> </w:t>
      </w:r>
      <w:r>
        <w:rPr>
          <w:b/>
          <w:bCs/>
        </w:rPr>
        <w:t xml:space="preserve">(TC-325)?</w:t>
      </w:r>
      <w:r>
        <w:t xml:space="preserve"> </w:t>
      </w:r>
      <w:r>
        <w:t xml:space="preserve">A: A mineral powder that creates a mechanical barrier; used as rescue therapy.</w:t>
      </w:r>
    </w:p>
    <w:p>
      <w:pPr>
        <w:pStyle w:val="BodyText"/>
      </w:pPr>
      <w:r>
        <w:rPr>
          <w:b/>
          <w:bCs/>
        </w:rPr>
        <w:t xml:space="preserve">Q82: When should an</w:t>
      </w:r>
      <w:r>
        <w:rPr>
          <w:b/>
          <w:bCs/>
        </w:rPr>
        <w:t xml:space="preserve"> </w:t>
      </w:r>
      <w:r>
        <w:rPr>
          <w:b/>
          <w:bCs/>
        </w:rPr>
        <w:t xml:space="preserve">“Over-the-scope clip”</w:t>
      </w:r>
      <w:r>
        <w:rPr>
          <w:b/>
          <w:bCs/>
        </w:rPr>
        <w:t xml:space="preserve"> </w:t>
      </w:r>
      <w:r>
        <w:rPr>
          <w:b/>
          <w:bCs/>
        </w:rPr>
        <w:t xml:space="preserve">(OTSC/Ovesco) be used?</w:t>
      </w:r>
      <w:r>
        <w:t xml:space="preserve"> </w:t>
      </w:r>
      <w:r>
        <w:t xml:space="preserve">A: For refractory bleeding, large vessels, or recurrent bleeding.</w:t>
      </w:r>
    </w:p>
    <w:p>
      <w:pPr>
        <w:pStyle w:val="BodyText"/>
      </w:pPr>
      <w:r>
        <w:rPr>
          <w:b/>
          <w:bCs/>
        </w:rPr>
        <w:t xml:space="preserve">Q83: If endoscopy fails twice, what is the next step?</w:t>
      </w:r>
      <w:r>
        <w:t xml:space="preserve"> </w:t>
      </w:r>
      <w:r>
        <w:t xml:space="preserve">A: Interventional Radiology (Angiography with embolization) or Surgery.</w:t>
      </w:r>
    </w:p>
    <w:p>
      <w:pPr>
        <w:pStyle w:val="BodyText"/>
      </w:pPr>
      <w:r>
        <w:rPr>
          <w:b/>
          <w:bCs/>
        </w:rPr>
        <w:t xml:space="preserve">Q84: What is the most common surgical procedure for a bleeding duodenal ulcer?</w:t>
      </w:r>
      <w:r>
        <w:t xml:space="preserve"> </w:t>
      </w:r>
      <w:r>
        <w:t xml:space="preserve">A: Duodenotomy and oversewing of the vessel (usually gastroduodenal artery).</w:t>
      </w:r>
    </w:p>
    <w:p>
      <w:pPr>
        <w:pStyle w:val="BodyText"/>
      </w:pPr>
      <w:r>
        <w:rPr>
          <w:b/>
          <w:bCs/>
        </w:rPr>
        <w:t xml:space="preserve">Q85: What is the role of H. pylori testing in UGIB?</w:t>
      </w:r>
      <w:r>
        <w:t xml:space="preserve"> </w:t>
      </w:r>
      <w:r>
        <w:t xml:space="preserve">A: Should be performed for all PUD; however, biopsy during acute bleed has lower sensitivity.</w:t>
      </w:r>
    </w:p>
    <w:p>
      <w:pPr>
        <w:pStyle w:val="BodyText"/>
      </w:pPr>
      <w:r>
        <w:rPr>
          <w:b/>
          <w:bCs/>
        </w:rPr>
        <w:t xml:space="preserve">Q86: If H. pylori is negative on biopsy during an acute bleed, what is the next step?</w:t>
      </w:r>
      <w:r>
        <w:t xml:space="preserve"> </w:t>
      </w:r>
      <w:r>
        <w:t xml:space="preserve">A: Repeat testing (stool antigen or urea breath test) in 4-6 weeks.</w:t>
      </w:r>
    </w:p>
    <w:p>
      <w:pPr>
        <w:pStyle w:val="BodyText"/>
      </w:pPr>
      <w:r>
        <w:rPr>
          <w:b/>
          <w:bCs/>
        </w:rPr>
        <w:t xml:space="preserve">Q87: How long should PPI be continued for a Forrest III ulcer?</w:t>
      </w:r>
      <w:r>
        <w:t xml:space="preserve"> </w:t>
      </w:r>
      <w:r>
        <w:t xml:space="preserve">A: 4-8 weeks, depending on the size and etiology.</w:t>
      </w:r>
    </w:p>
    <w:p>
      <w:pPr>
        <w:pStyle w:val="BodyText"/>
      </w:pPr>
      <w:r>
        <w:rPr>
          <w:b/>
          <w:bCs/>
        </w:rPr>
        <w:t xml:space="preserve">Q88: Should patients with PUD-bleeding be restarted on Aspirin?</w:t>
      </w:r>
      <w:r>
        <w:t xml:space="preserve"> </w:t>
      </w:r>
      <w:r>
        <w:t xml:space="preserve">A: Yes, for secondary CV prevention, usually within 3-7 days after hemostasis (with PPI).</w:t>
      </w:r>
    </w:p>
    <w:p>
      <w:pPr>
        <w:pStyle w:val="BodyText"/>
      </w:pPr>
      <w:r>
        <w:rPr>
          <w:b/>
          <w:bCs/>
        </w:rPr>
        <w:t xml:space="preserve">Q89: Should NSAIDs be restarted after a PUD bleed?</w:t>
      </w:r>
      <w:r>
        <w:t xml:space="preserve"> </w:t>
      </w:r>
      <w:r>
        <w:t xml:space="preserve">A: Avoid if possible; if necessary, use a COX-2 inhibitor plus a PPI.</w:t>
      </w:r>
    </w:p>
    <w:p>
      <w:pPr>
        <w:pStyle w:val="BodyText"/>
      </w:pPr>
      <w:r>
        <w:rPr>
          <w:b/>
          <w:bCs/>
        </w:rPr>
        <w:t xml:space="preserve">Q90: What is the most common site for a Mallory-Weiss tear?</w:t>
      </w:r>
      <w:r>
        <w:t xml:space="preserve"> </w:t>
      </w:r>
      <w:r>
        <w:t xml:space="preserve">A: Just below the gastroesophageal junction on the lesser curvature.</w:t>
      </w:r>
    </w:p>
    <w:bookmarkEnd w:id="14"/>
    <w:bookmarkStart w:id="15" w:name="q91-q100-disposition-prognosis"/>
    <w:p>
      <w:pPr>
        <w:pStyle w:val="Heading3"/>
      </w:pPr>
      <w:r>
        <w:t xml:space="preserve">Q91-Q100: Disposition &amp; Prognosis</w:t>
      </w:r>
    </w:p>
    <w:p>
      <w:pPr>
        <w:pStyle w:val="FirstParagraph"/>
      </w:pPr>
      <w:r>
        <w:rPr>
          <w:b/>
          <w:bCs/>
        </w:rPr>
        <w:t xml:space="preserve">Q91: Can a patient with a GBS of 1 be discharged?</w:t>
      </w:r>
      <w:r>
        <w:t xml:space="preserve"> </w:t>
      </w:r>
      <w:r>
        <w:t xml:space="preserve">A: Yes, if they have stable vitals and social support.</w:t>
      </w:r>
    </w:p>
    <w:p>
      <w:pPr>
        <w:pStyle w:val="BodyText"/>
      </w:pPr>
      <w:r>
        <w:rPr>
          <w:b/>
          <w:bCs/>
        </w:rPr>
        <w:t xml:space="preserve">Q92: Which patients require ICU admission for UGIB?</w:t>
      </w:r>
      <w:r>
        <w:t xml:space="preserve"> </w:t>
      </w:r>
      <w:r>
        <w:t xml:space="preserve">A: Hemodynamic instability, GCS &lt;8 (needing intubation), or significant comorbidities.</w:t>
      </w:r>
    </w:p>
    <w:p>
      <w:pPr>
        <w:pStyle w:val="BodyText"/>
      </w:pPr>
      <w:r>
        <w:rPr>
          <w:b/>
          <w:bCs/>
        </w:rPr>
        <w:t xml:space="preserve">Q93: What is the risk of rebleeding for a Forrest Ia ulcer?</w:t>
      </w:r>
      <w:r>
        <w:t xml:space="preserve"> </w:t>
      </w:r>
      <w:r>
        <w:t xml:space="preserve">A: Up to 90% without therapy.</w:t>
      </w:r>
    </w:p>
    <w:p>
      <w:pPr>
        <w:pStyle w:val="BodyText"/>
      </w:pPr>
      <w:r>
        <w:rPr>
          <w:b/>
          <w:bCs/>
        </w:rPr>
        <w:t xml:space="preserve">Q94: What is the risk of rebleeding for a Forrest III ulcer?</w:t>
      </w:r>
      <w:r>
        <w:t xml:space="preserve"> </w:t>
      </w:r>
      <w:r>
        <w:t xml:space="preserve">A: &lt;5%.</w:t>
      </w:r>
    </w:p>
    <w:p>
      <w:pPr>
        <w:pStyle w:val="BodyText"/>
      </w:pPr>
      <w:r>
        <w:rPr>
          <w:b/>
          <w:bCs/>
        </w:rPr>
        <w:t xml:space="preserve">Q95: When can oral intake be resumed after successful endoscopy for PUD?</w:t>
      </w:r>
      <w:r>
        <w:t xml:space="preserve"> </w:t>
      </w:r>
      <w:r>
        <w:t xml:space="preserve">A: Clear liquids immediately or within 6 hours; solids within 24 hours for most.</w:t>
      </w:r>
    </w:p>
    <w:p>
      <w:pPr>
        <w:pStyle w:val="BodyText"/>
      </w:pPr>
      <w:r>
        <w:rPr>
          <w:b/>
          <w:bCs/>
        </w:rPr>
        <w:t xml:space="preserve">Q96: What is the 30-day mortality rate for all UGIB?</w:t>
      </w:r>
      <w:r>
        <w:t xml:space="preserve"> </w:t>
      </w:r>
      <w:r>
        <w:t xml:space="preserve">A: 5-10%.</w:t>
      </w:r>
    </w:p>
    <w:p>
      <w:pPr>
        <w:pStyle w:val="BodyText"/>
      </w:pPr>
      <w:r>
        <w:rPr>
          <w:b/>
          <w:bCs/>
        </w:rPr>
        <w:t xml:space="preserve">Q97: How does the</w:t>
      </w:r>
      <w:r>
        <w:rPr>
          <w:b/>
          <w:bCs/>
        </w:rPr>
        <w:t xml:space="preserve"> </w:t>
      </w:r>
      <w:r>
        <w:rPr>
          <w:b/>
          <w:bCs/>
        </w:rPr>
        <w:t xml:space="preserve">“Shock Index”</w:t>
      </w:r>
      <w:r>
        <w:rPr>
          <w:b/>
          <w:bCs/>
        </w:rPr>
        <w:t xml:space="preserve"> </w:t>
      </w:r>
      <w:r>
        <w:rPr>
          <w:b/>
          <w:bCs/>
        </w:rPr>
        <w:t xml:space="preserve">guide disposition?</w:t>
      </w:r>
      <w:r>
        <w:t xml:space="preserve"> </w:t>
      </w:r>
      <w:r>
        <w:t xml:space="preserve">A: HR/SBP &gt; 1.0 suggests significant occult shock and need for ICU/HDU.</w:t>
      </w:r>
    </w:p>
    <w:p>
      <w:pPr>
        <w:pStyle w:val="BodyText"/>
      </w:pPr>
      <w:r>
        <w:rPr>
          <w:b/>
          <w:bCs/>
        </w:rPr>
        <w:t xml:space="preserve">Q98: What is the</w:t>
      </w:r>
      <w:r>
        <w:rPr>
          <w:b/>
          <w:bCs/>
        </w:rPr>
        <w:t xml:space="preserve"> </w:t>
      </w:r>
      <w:r>
        <w:rPr>
          <w:b/>
          <w:bCs/>
        </w:rPr>
        <w:t xml:space="preserve">“Proton Pump Inhibitor stewardship”</w:t>
      </w:r>
      <w:r>
        <w:rPr>
          <w:b/>
          <w:bCs/>
        </w:rPr>
        <w:t xml:space="preserve"> </w:t>
      </w:r>
      <w:r>
        <w:rPr>
          <w:b/>
          <w:bCs/>
        </w:rPr>
        <w:t xml:space="preserve">goal post-discharge?</w:t>
      </w:r>
      <w:r>
        <w:t xml:space="preserve"> </w:t>
      </w:r>
      <w:r>
        <w:t xml:space="preserve">A: To step down to the lowest effective dose or stop if the underlying cause (e.g., NSAID) is removed.</w:t>
      </w:r>
    </w:p>
    <w:p>
      <w:pPr>
        <w:pStyle w:val="BodyText"/>
      </w:pPr>
      <w:r>
        <w:rPr>
          <w:b/>
          <w:bCs/>
        </w:rPr>
        <w:t xml:space="preserve">Q99: When should a repeat</w:t>
      </w:r>
      <w:r>
        <w:rPr>
          <w:b/>
          <w:bCs/>
        </w:rPr>
        <w:t xml:space="preserve"> </w:t>
      </w:r>
      <w:r>
        <w:rPr>
          <w:b/>
          <w:bCs/>
        </w:rPr>
        <w:t xml:space="preserve">“look”</w:t>
      </w:r>
      <w:r>
        <w:rPr>
          <w:b/>
          <w:bCs/>
        </w:rPr>
        <w:t xml:space="preserve"> </w:t>
      </w:r>
      <w:r>
        <w:rPr>
          <w:b/>
          <w:bCs/>
        </w:rPr>
        <w:t xml:space="preserve">endoscopy be routinely performed?</w:t>
      </w:r>
      <w:r>
        <w:t xml:space="preserve"> </w:t>
      </w:r>
      <w:r>
        <w:t xml:space="preserve">A: Not routinely recommended unless there is evidence of rebleeding.</w:t>
      </w:r>
    </w:p>
    <w:p>
      <w:pPr>
        <w:pStyle w:val="BodyText"/>
      </w:pPr>
      <w:r>
        <w:rPr>
          <w:b/>
          <w:bCs/>
        </w:rPr>
        <w:t xml:space="preserve">Q100: What is the most important factor in improving UGIB outcomes?</w:t>
      </w:r>
      <w:r>
        <w:t xml:space="preserve"> </w:t>
      </w:r>
      <w:r>
        <w:t xml:space="preserve">A: Early resuscitation and multidisciplinary care (ED, GI, Surgery, IR).</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2026-04-02T21:50:54Z</dcterms:created>
  <dcterms:modified xsi:type="dcterms:W3CDTF">2026-04-02T21:50:54Z</dcterms:modified>
</cp:coreProperties>
</file>

<file path=docProps/custom.xml><?xml version="1.0" encoding="utf-8"?>
<Properties xmlns="http://schemas.openxmlformats.org/officeDocument/2006/custom-properties" xmlns:vt="http://schemas.openxmlformats.org/officeDocument/2006/docPropsVTypes"/>
</file>