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a2a1f5a0169bfec16304adb7ab9d3a83a58d30"/>
    <w:p>
      <w:pPr>
        <w:pStyle w:val="Heading1"/>
      </w:pPr>
      <w:r>
        <w:t xml:space="preserve">Master Case: Oncological Emergencies Narrative</w:t>
      </w:r>
    </w:p>
    <w:bookmarkStart w:id="9" w:name="Xeca3b2b9131a4c2f445f2059da698d0265d10af"/>
    <w:p>
      <w:pPr>
        <w:pStyle w:val="Heading2"/>
      </w:pPr>
      <w:r>
        <w:t xml:space="preserve">Clinical Timeline-Based Narrative: From Triage to Definitive Care</w:t>
      </w:r>
    </w:p>
    <w:p>
      <w:pPr>
        <w:pStyle w:val="FirstParagraph"/>
      </w:pPr>
      <w:r>
        <w:rPr>
          <w:b/>
          <w:bCs/>
        </w:rPr>
        <w:t xml:space="preserve">08:00 - Triage (Emergency Department)</w:t>
      </w:r>
      <w:r>
        <w:t xml:space="preserve"> </w:t>
      </w:r>
      <w:r>
        <w:t xml:space="preserve">A 62-year-old male, Mr. J.S., presents with sudden onset confusion, worsening shortness of breath (SOB), and facial swelling. He was diagnosed with Stage IV Non-Small Cell Lung Cancer (NSCLC) six months ago and received his last cycle of Pembrolizumab and Platinum-doublet chemotherapy 10 days ago. Vital signs: BP 95/60 mmHg, HR 115 bpm, RR 26/min, SpO2 88% on room air, Temp 38.4°C.</w:t>
      </w:r>
    </w:p>
    <w:p>
      <w:pPr>
        <w:pStyle w:val="BodyText"/>
      </w:pPr>
      <w:r>
        <w:rPr>
          <w:b/>
          <w:bCs/>
        </w:rPr>
        <w:t xml:space="preserve">08:15 - Initial Assessment</w:t>
      </w:r>
      <w:r>
        <w:t xml:space="preserve"> </w:t>
      </w:r>
      <w:r>
        <w:t xml:space="preserve">Physical exam reveals distended neck veins, facial and upper extremity edema, and inspiratory crackles. He is somnolent but rousable. Pemberton’s sign is positive. Initial labs are drawn, including a full blood count, electrolytes, lactate, and blood cultures. A portable CXR shows a widened mediastinum and a right-sided pleural effusion.</w:t>
      </w:r>
    </w:p>
    <w:p>
      <w:pPr>
        <w:pStyle w:val="BodyText"/>
      </w:pPr>
      <w:r>
        <w:rPr>
          <w:b/>
          <w:bCs/>
        </w:rPr>
        <w:t xml:space="preserve">09:00 - Acute Management of Neutropenic Sepsis</w:t>
      </w:r>
      <w:r>
        <w:t xml:space="preserve"> </w:t>
      </w:r>
      <w:r>
        <w:t xml:space="preserve">FBC reveals an Absolute Neutrophil Count (ANC) of 350/µL. MASCC score is calculated as 18 (high risk). Broad-spectrum antibiotics (Piperacillin/Tazobactam) are administered within 60 minutes of arrival. IV crystalloid boluses are initiated for hypotension.</w:t>
      </w:r>
    </w:p>
    <w:p>
      <w:pPr>
        <w:pStyle w:val="BodyText"/>
      </w:pPr>
      <w:r>
        <w:rPr>
          <w:b/>
          <w:bCs/>
        </w:rPr>
        <w:t xml:space="preserve">10:00 - Superior Vena Cava (SVC) Syndrome Identification</w:t>
      </w:r>
      <w:r>
        <w:t xml:space="preserve"> </w:t>
      </w:r>
      <w:r>
        <w:t xml:space="preserve">CT Thorax with IV contrast confirms a large mediastinal mass compressing the SVC. There is also evidence of brain metastases on an urgent non-contrast CT Head, explaining the confusion. Dexamethasone 16mg IV is administered to reduce peritumoral edema.</w:t>
      </w:r>
    </w:p>
    <w:p>
      <w:pPr>
        <w:pStyle w:val="BodyText"/>
      </w:pPr>
      <w:r>
        <w:rPr>
          <w:b/>
          <w:bCs/>
        </w:rPr>
        <w:t xml:space="preserve">12:00 - Metabolic Emergencies (Tumor Lysis &amp; Hypercalcemia)</w:t>
      </w:r>
      <w:r>
        <w:t xml:space="preserve"> </w:t>
      </w:r>
      <w:r>
        <w:t xml:space="preserve">Labs return: Potassium 6.2 mmol/L, Phosphorus 2.1 mmol/L, Uric Acid 680 µmol/L, and Corrected Calcium 3.1 mmol/L. These meet Cairo-Bishop criteria for Laboratory Tumor Lysis Syndrome (TLS). Hypercalcemia of malignancy is also diagnosed. Aggressive IV hydration with balanced crystalloids is continued. Rasburicase is ordered for high-risk TLS.</w:t>
      </w:r>
    </w:p>
    <w:p>
      <w:pPr>
        <w:pStyle w:val="BodyText"/>
      </w:pPr>
      <w:r>
        <w:rPr>
          <w:b/>
          <w:bCs/>
        </w:rPr>
        <w:t xml:space="preserve">15:00 - Definitive Care &amp; Disposition</w:t>
      </w:r>
      <w:r>
        <w:t xml:space="preserve"> </w:t>
      </w:r>
      <w:r>
        <w:t xml:space="preserve">Interventional Radiology is consulted for SVC stenting to provide rapid symptomatic relief. Radiation Oncology evaluates for urgent palliative radiotherapy for the mediastinal mass and brain metastases. Given the multi-organ involvement and poor performance status, an ICU consult is requested for stabilization, while a Palliative Care consult is initiated for goals-of-care discussion.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primary concern for a cancer patient presenting with fever and a low ANC?</w:t>
      </w:r>
      <w:r>
        <w:t xml:space="preserve"> </w:t>
      </w:r>
      <w:r>
        <w:t xml:space="preserve">A: Neutropenic sepsis, a medical emergency requiring immediate antibiotics.</w:t>
      </w:r>
    </w:p>
    <w:p>
      <w:pPr>
        <w:pStyle w:val="BodyText"/>
      </w:pPr>
      <w:r>
        <w:rPr>
          <w:b/>
          <w:bCs/>
        </w:rPr>
        <w:t xml:space="preserve">Q2: How is</w:t>
      </w:r>
      <w:r>
        <w:rPr>
          <w:b/>
          <w:bCs/>
        </w:rPr>
        <w:t xml:space="preserve"> </w:t>
      </w:r>
      <w:r>
        <w:rPr>
          <w:b/>
          <w:bCs/>
        </w:rPr>
        <w:t xml:space="preserve">“Fever”</w:t>
      </w:r>
      <w:r>
        <w:rPr>
          <w:b/>
          <w:bCs/>
        </w:rPr>
        <w:t xml:space="preserve"> </w:t>
      </w:r>
      <w:r>
        <w:rPr>
          <w:b/>
          <w:bCs/>
        </w:rPr>
        <w:t xml:space="preserve">defined in the context of neutropenic sepsis (ASCO/IDSA)?</w:t>
      </w:r>
      <w:r>
        <w:t xml:space="preserve"> </w:t>
      </w:r>
      <w:r>
        <w:t xml:space="preserve">A: A single oral temperature of ≥38.3°C or a temperature of ≥38.0°C sustained over a 1-hour period.</w:t>
      </w:r>
    </w:p>
    <w:p>
      <w:pPr>
        <w:pStyle w:val="BodyText"/>
      </w:pPr>
      <w:r>
        <w:rPr>
          <w:b/>
          <w:bCs/>
        </w:rPr>
        <w:t xml:space="preserve">Q3: What is the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“Neutropenia”</w:t>
      </w:r>
      <w:r>
        <w:rPr>
          <w:b/>
          <w:bCs/>
        </w:rPr>
        <w:t xml:space="preserve">?</w:t>
      </w:r>
      <w:r>
        <w:t xml:space="preserve"> </w:t>
      </w:r>
      <w:r>
        <w:t xml:space="preserve">A: ANC &lt;500/µL or ANC expected to decrease to &lt;500/µL within the next 48 hours.</w:t>
      </w:r>
    </w:p>
    <w:p>
      <w:pPr>
        <w:pStyle w:val="BodyText"/>
      </w:pPr>
      <w:r>
        <w:rPr>
          <w:b/>
          <w:bCs/>
        </w:rPr>
        <w:t xml:space="preserve">Q4: Which types of cancer have the highest risk of neutropenic sepsis?</w:t>
      </w:r>
      <w:r>
        <w:t xml:space="preserve"> </w:t>
      </w:r>
      <w:r>
        <w:t xml:space="preserve">A: Hematologic malignancies (leukemia, lymphoma) and solid tumors receiving dose-dense chemotherapy.</w:t>
      </w:r>
    </w:p>
    <w:p>
      <w:pPr>
        <w:pStyle w:val="BodyText"/>
      </w:pPr>
      <w:r>
        <w:rPr>
          <w:b/>
          <w:bCs/>
        </w:rPr>
        <w:t xml:space="preserve">Q5: What is the MASCC Risk Index?</w:t>
      </w:r>
      <w:r>
        <w:t xml:space="preserve"> </w:t>
      </w:r>
      <w:r>
        <w:t xml:space="preserve">A: The Multinational Association for Supportive Care in Cancer (MASCC) score identifies low-risk patients (score ≥21) who might be managed as outpatients.</w:t>
      </w:r>
    </w:p>
    <w:p>
      <w:pPr>
        <w:pStyle w:val="BodyText"/>
      </w:pPr>
      <w:r>
        <w:rPr>
          <w:b/>
          <w:bCs/>
        </w:rPr>
        <w:t xml:space="preserve">Q6: What is the CISNE score?</w:t>
      </w:r>
      <w:r>
        <w:t xml:space="preserve"> </w:t>
      </w:r>
      <w:r>
        <w:t xml:space="preserve">A: The Clinical Index of Stable Febrile Neutropenia (CISNE) score is specifically for patients with solid tumors to identify low-risk candidates for outpatient care.</w:t>
      </w:r>
    </w:p>
    <w:p>
      <w:pPr>
        <w:pStyle w:val="BodyText"/>
      </w:pPr>
      <w:r>
        <w:rPr>
          <w:b/>
          <w:bCs/>
        </w:rPr>
        <w:t xml:space="preserve">Q7: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“Time to Antibiotics”</w:t>
      </w:r>
      <w:r>
        <w:rPr>
          <w:b/>
          <w:bCs/>
        </w:rPr>
        <w:t xml:space="preserve"> </w:t>
      </w:r>
      <w:r>
        <w:rPr>
          <w:b/>
          <w:bCs/>
        </w:rPr>
        <w:t xml:space="preserve">(TTA) critical?</w:t>
      </w:r>
      <w:r>
        <w:t xml:space="preserve"> </w:t>
      </w:r>
      <w:r>
        <w:t xml:space="preserve">A: TTA &lt;60 minutes is associated with improved survival in neutropenic sepsis.</w:t>
      </w:r>
    </w:p>
    <w:p>
      <w:pPr>
        <w:pStyle w:val="BodyText"/>
      </w:pPr>
      <w:r>
        <w:rPr>
          <w:b/>
          <w:bCs/>
        </w:rPr>
        <w:t xml:space="preserve">Q8: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“last chemotherapy dose”</w:t>
      </w:r>
      <w:r>
        <w:rPr>
          <w:b/>
          <w:bCs/>
        </w:rPr>
        <w:t xml:space="preserve">?</w:t>
      </w:r>
      <w:r>
        <w:t xml:space="preserve"> </w:t>
      </w:r>
      <w:r>
        <w:t xml:space="preserve">A: It determines the</w:t>
      </w:r>
      <w:r>
        <w:t xml:space="preserve"> </w:t>
      </w:r>
      <w:r>
        <w:t xml:space="preserve">“nadir”</w:t>
      </w:r>
      <w:r>
        <w:t xml:space="preserve"> </w:t>
      </w:r>
      <w:r>
        <w:t xml:space="preserve">(usually 7-14 days post-chemo), where neutrophil counts are lowest.</w:t>
      </w:r>
    </w:p>
    <w:p>
      <w:pPr>
        <w:pStyle w:val="BodyText"/>
      </w:pPr>
      <w:r>
        <w:rPr>
          <w:b/>
          <w:bCs/>
        </w:rPr>
        <w:t xml:space="preserve">Q9: Does Pembrolizumab (Immunotherapy) increase the risk of neutropenic sepsis?</w:t>
      </w:r>
      <w:r>
        <w:t xml:space="preserve"> </w:t>
      </w:r>
      <w:r>
        <w:t xml:space="preserve">A: Less so than cytotoxic chemo, but it can cause immune-related adverse events (irAEs) that mimic sepsis.</w:t>
      </w:r>
    </w:p>
    <w:p>
      <w:pPr>
        <w:pStyle w:val="BodyText"/>
      </w:pPr>
      <w:r>
        <w:rPr>
          <w:b/>
          <w:bCs/>
        </w:rPr>
        <w:t xml:space="preserve">Q10: What should be included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“Initial Triage Bundle”</w:t>
      </w:r>
      <w:r>
        <w:rPr>
          <w:b/>
          <w:bCs/>
        </w:rPr>
        <w:t xml:space="preserve">?</w:t>
      </w:r>
      <w:r>
        <w:t xml:space="preserve"> </w:t>
      </w:r>
      <w:r>
        <w:t xml:space="preserve">A: Vital signs, two sets of blood cultures (one from a central line if present), lactate, and FBC.</w:t>
      </w:r>
    </w:p>
    <w:p>
      <w:pPr>
        <w:pStyle w:val="BodyText"/>
      </w:pPr>
      <w:r>
        <w:rPr>
          <w:b/>
          <w:bCs/>
        </w:rPr>
        <w:t xml:space="preserve">Q11: What does a MASCC score &lt;21 indicate?</w:t>
      </w:r>
      <w:r>
        <w:t xml:space="preserve"> </w:t>
      </w:r>
      <w:r>
        <w:t xml:space="preserve">A: High-risk patient; requires inpatient admission and IV antibiotics.</w:t>
      </w:r>
    </w:p>
    <w:p>
      <w:pPr>
        <w:pStyle w:val="BodyText"/>
      </w:pPr>
      <w:r>
        <w:rPr>
          <w:b/>
          <w:bCs/>
        </w:rPr>
        <w:t xml:space="preserve">Q12: What are common sites of infection in neutropenic patients?</w:t>
      </w:r>
      <w:r>
        <w:t xml:space="preserve"> </w:t>
      </w:r>
      <w:r>
        <w:t xml:space="preserve">A: GI tract (mucositis), skin (cellulitis), lungs (pneumonia), and indwelling catheters.</w:t>
      </w:r>
    </w:p>
    <w:p>
      <w:pPr>
        <w:pStyle w:val="BodyText"/>
      </w:pPr>
      <w:r>
        <w:rPr>
          <w:b/>
          <w:bCs/>
        </w:rPr>
        <w:t xml:space="preserve">Q13: Why is a rectal exam contraindicated in neutropenic patients?</w:t>
      </w:r>
      <w:r>
        <w:t xml:space="preserve"> </w:t>
      </w:r>
      <w:r>
        <w:t xml:space="preserve">A: Risk of causing bacteremia via mucosal trauma.</w:t>
      </w:r>
    </w:p>
    <w:p>
      <w:pPr>
        <w:pStyle w:val="BodyText"/>
      </w:pPr>
      <w:r>
        <w:rPr>
          <w:b/>
          <w:bCs/>
        </w:rPr>
        <w:t xml:space="preserve">Q14: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“Omission of localizing signs”</w:t>
      </w:r>
      <w:r>
        <w:rPr>
          <w:b/>
          <w:bCs/>
        </w:rPr>
        <w:t xml:space="preserve"> </w:t>
      </w:r>
      <w:r>
        <w:rPr>
          <w:b/>
          <w:bCs/>
        </w:rPr>
        <w:t xml:space="preserve">in neutropenia?</w:t>
      </w:r>
      <w:r>
        <w:t xml:space="preserve"> </w:t>
      </w:r>
      <w:r>
        <w:t xml:space="preserve">A: Due to lack of white cells, patients may not form pus or show classic signs of inflammation (e.g., no infiltrate on CXR despite pneumonia).</w:t>
      </w:r>
    </w:p>
    <w:p>
      <w:pPr>
        <w:pStyle w:val="BodyText"/>
      </w:pPr>
      <w:r>
        <w:rPr>
          <w:b/>
          <w:bCs/>
        </w:rPr>
        <w:t xml:space="preserve">Q15: When should viral or fungal infections be considered?</w:t>
      </w:r>
      <w:r>
        <w:t xml:space="preserve"> </w:t>
      </w:r>
      <w:r>
        <w:t xml:space="preserve">A: If fever persists &gt;4-7 days despite broad-spectrum antibacterial therapy.</w:t>
      </w:r>
    </w:p>
    <w:bookmarkEnd w:id="10"/>
    <w:bookmarkStart w:id="11" w:name="q16-q35-neutropenic-sepsis-management"/>
    <w:p>
      <w:pPr>
        <w:pStyle w:val="Heading3"/>
      </w:pPr>
      <w:r>
        <w:t xml:space="preserve">Q16-Q35: Neutropenic Sepsis Management</w:t>
      </w:r>
    </w:p>
    <w:p>
      <w:pPr>
        <w:pStyle w:val="FirstParagraph"/>
      </w:pPr>
      <w:r>
        <w:rPr>
          <w:b/>
          <w:bCs/>
        </w:rPr>
        <w:t xml:space="preserve">Q16: What is the first-line empirical antibiotic choice?</w:t>
      </w:r>
      <w:r>
        <w:t xml:space="preserve"> </w:t>
      </w:r>
      <w:r>
        <w:t xml:space="preserve">A: Anti-pseudonal beta-lactam monotherapy, such as Piperacillin/Tazobactam (Pip/Tazo) or Cefepime.</w:t>
      </w:r>
    </w:p>
    <w:p>
      <w:pPr>
        <w:pStyle w:val="BodyText"/>
      </w:pPr>
      <w:r>
        <w:rPr>
          <w:b/>
          <w:bCs/>
        </w:rPr>
        <w:t xml:space="preserve">Q17: When is Meropenem used instead of Pip/Tazo?</w:t>
      </w:r>
      <w:r>
        <w:t xml:space="preserve"> </w:t>
      </w:r>
      <w:r>
        <w:t xml:space="preserve">A: In cases of suspected ESBL-producing organisms, prior colonization, or hemodynamic instability.</w:t>
      </w:r>
    </w:p>
    <w:p>
      <w:pPr>
        <w:pStyle w:val="BodyText"/>
      </w:pPr>
      <w:r>
        <w:rPr>
          <w:b/>
          <w:bCs/>
        </w:rPr>
        <w:t xml:space="preserve">Q18: Should Vancomycin be added routinely?</w:t>
      </w:r>
      <w:r>
        <w:t xml:space="preserve"> </w:t>
      </w:r>
      <w:r>
        <w:t xml:space="preserve">A: No. It is reserved for suspected catheter infection, skin/soft tissue infection, pneumonia, or hemodynamic instability.</w:t>
      </w:r>
    </w:p>
    <w:p>
      <w:pPr>
        <w:pStyle w:val="BodyText"/>
      </w:pPr>
      <w:r>
        <w:rPr>
          <w:b/>
          <w:bCs/>
        </w:rPr>
        <w:t xml:space="preserve">Q19: What is the role of G-CSF (Granulocyte Colony-Stimulating Factor)?</w:t>
      </w:r>
      <w:r>
        <w:t xml:space="preserve"> </w:t>
      </w:r>
      <w:r>
        <w:t xml:space="preserve">A: It may shorten the duration of neutropenia but does not consistently improve survival in acute sepsis.</w:t>
      </w:r>
    </w:p>
    <w:p>
      <w:pPr>
        <w:pStyle w:val="BodyText"/>
      </w:pPr>
      <w:r>
        <w:rPr>
          <w:b/>
          <w:bCs/>
        </w:rPr>
        <w:t xml:space="preserve">Q20: How should fluids be managed in septic shock?</w:t>
      </w:r>
      <w:r>
        <w:t xml:space="preserve"> </w:t>
      </w:r>
      <w:r>
        <w:t xml:space="preserve">A: 30 mL/kg of balanced crystalloids within the first 3 hours (Surviving Sepsis guidelines).</w:t>
      </w:r>
    </w:p>
    <w:p>
      <w:pPr>
        <w:pStyle w:val="BodyText"/>
      </w:pPr>
      <w:r>
        <w:rPr>
          <w:b/>
          <w:bCs/>
        </w:rPr>
        <w:t xml:space="preserve">Q21: What is the target MAP in sepsis?</w:t>
      </w:r>
      <w:r>
        <w:t xml:space="preserve"> </w:t>
      </w:r>
      <w:r>
        <w:t xml:space="preserve">A: ≥65 mmHg.</w:t>
      </w:r>
    </w:p>
    <w:p>
      <w:pPr>
        <w:pStyle w:val="BodyText"/>
      </w:pPr>
      <w:r>
        <w:rPr>
          <w:b/>
          <w:bCs/>
        </w:rPr>
        <w:t xml:space="preserve">Q22: When should antifungal therapy be started?</w:t>
      </w:r>
      <w:r>
        <w:t xml:space="preserve"> </w:t>
      </w:r>
      <w:r>
        <w:t xml:space="preserve">A: In high-risk patients with persistent or recurrent fever after 4-7 days of antibiotics.</w:t>
      </w:r>
    </w:p>
    <w:p>
      <w:pPr>
        <w:pStyle w:val="BodyText"/>
      </w:pPr>
      <w:r>
        <w:rPr>
          <w:b/>
          <w:bCs/>
        </w:rPr>
        <w:t xml:space="preserve">Q23: Can low-risk patients be treated with oral antibiotics?</w:t>
      </w:r>
      <w:r>
        <w:t xml:space="preserve"> </w:t>
      </w:r>
      <w:r>
        <w:t xml:space="preserve">A: Yes, typically Ciprofloxacin plus Amoxicillin/Clavulanate.</w:t>
      </w:r>
    </w:p>
    <w:p>
      <w:pPr>
        <w:pStyle w:val="BodyText"/>
      </w:pPr>
      <w:r>
        <w:rPr>
          <w:b/>
          <w:bCs/>
        </w:rPr>
        <w:t xml:space="preserve">Q24: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“Ecthyma Gangrenosum”</w:t>
      </w:r>
      <w:r>
        <w:rPr>
          <w:b/>
          <w:bCs/>
        </w:rPr>
        <w:t xml:space="preserve">?</w:t>
      </w:r>
      <w:r>
        <w:t xml:space="preserve"> </w:t>
      </w:r>
      <w:r>
        <w:t xml:space="preserve">A: A skin lesion classic for Pseudomonas aeruginosa sepsis.</w:t>
      </w:r>
    </w:p>
    <w:p>
      <w:pPr>
        <w:pStyle w:val="BodyText"/>
      </w:pPr>
      <w:r>
        <w:rPr>
          <w:b/>
          <w:bCs/>
        </w:rPr>
        <w:t xml:space="preserve">Q25: How long should antibiotics be continued?</w:t>
      </w:r>
      <w:r>
        <w:t xml:space="preserve"> </w:t>
      </w:r>
      <w:r>
        <w:t xml:space="preserve">A: Until ANC &gt;500/µL and the patient is afebrile for at least 48 hours.</w:t>
      </w:r>
    </w:p>
    <w:p>
      <w:pPr>
        <w:pStyle w:val="BodyText"/>
      </w:pPr>
      <w:r>
        <w:rPr>
          <w:b/>
          <w:bCs/>
        </w:rPr>
        <w:t xml:space="preserve">Q26: What is the significance of a high lactate?</w:t>
      </w:r>
      <w:r>
        <w:t xml:space="preserve"> </w:t>
      </w:r>
      <w:r>
        <w:t xml:space="preserve">A: Marker of tissue hypoperfusion; lactate &gt;4 mmol/L is associated with high mortality.</w:t>
      </w:r>
    </w:p>
    <w:p>
      <w:pPr>
        <w:pStyle w:val="BodyText"/>
      </w:pPr>
      <w:r>
        <w:rPr>
          <w:b/>
          <w:bCs/>
        </w:rPr>
        <w:t xml:space="preserve">Q27: Should a central line be removed in sepsis?</w:t>
      </w:r>
      <w:r>
        <w:t xml:space="preserve"> </w:t>
      </w:r>
      <w:r>
        <w:t xml:space="preserve">A: If the line is the suspected source (S. aureus, Pseudomonas, or Candida) or if there is tunnel infection.</w:t>
      </w:r>
    </w:p>
    <w:p>
      <w:pPr>
        <w:pStyle w:val="BodyText"/>
      </w:pPr>
      <w:r>
        <w:rPr>
          <w:b/>
          <w:bCs/>
        </w:rPr>
        <w:t xml:space="preserve">Q28: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“Typhlitis”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Neutropenic enterocolitis; presents with RLQ pain and requires bowel rest and broad-spectrum coverage.</w:t>
      </w:r>
    </w:p>
    <w:p>
      <w:pPr>
        <w:pStyle w:val="BodyText"/>
      </w:pPr>
      <w:r>
        <w:rPr>
          <w:b/>
          <w:bCs/>
        </w:rPr>
        <w:t xml:space="preserve">Q29: How does MASCC differ from CISNE?</w:t>
      </w:r>
      <w:r>
        <w:t xml:space="preserve"> </w:t>
      </w:r>
      <w:r>
        <w:t xml:space="preserve">A: MASCC is validated for all cancers; CISNE is specifically for clinically stable solid tumor patients.</w:t>
      </w:r>
    </w:p>
    <w:p>
      <w:pPr>
        <w:pStyle w:val="BodyText"/>
      </w:pPr>
      <w:r>
        <w:rPr>
          <w:b/>
          <w:bCs/>
        </w:rPr>
        <w:t xml:space="preserve">Q30: What is the role of source control?</w:t>
      </w:r>
      <w:r>
        <w:t xml:space="preserve"> </w:t>
      </w:r>
      <w:r>
        <w:t xml:space="preserve">A: Essential for abscesses or infected hardware, even if the patient is neutropenic.</w:t>
      </w:r>
    </w:p>
    <w:p>
      <w:pPr>
        <w:pStyle w:val="BodyText"/>
      </w:pPr>
      <w:r>
        <w:rPr>
          <w:b/>
          <w:bCs/>
        </w:rPr>
        <w:t xml:space="preserve">Q31: Are steroids recommended in neutropenic sepsis?</w:t>
      </w:r>
      <w:r>
        <w:t xml:space="preserve"> </w:t>
      </w:r>
      <w:r>
        <w:t xml:space="preserve">A: Only if refractory shock (hydrocortisone) or if the cause is an immune-checkpoint inhibitor toxicity.</w:t>
      </w:r>
    </w:p>
    <w:p>
      <w:pPr>
        <w:pStyle w:val="BodyText"/>
      </w:pPr>
      <w:r>
        <w:rPr>
          <w:b/>
          <w:bCs/>
        </w:rPr>
        <w:t xml:space="preserve">Q32: What is the most common Gram-positive organism in these patients?</w:t>
      </w:r>
      <w:r>
        <w:t xml:space="preserve"> </w:t>
      </w:r>
      <w:r>
        <w:t xml:space="preserve">A: Coagulase-negative Staphylococci.</w:t>
      </w:r>
    </w:p>
    <w:p>
      <w:pPr>
        <w:pStyle w:val="BodyText"/>
      </w:pPr>
      <w:r>
        <w:rPr>
          <w:b/>
          <w:bCs/>
        </w:rPr>
        <w:t xml:space="preserve">Q33: What is the most feared Gram-negative organism?</w:t>
      </w:r>
      <w:r>
        <w:t xml:space="preserve"> </w:t>
      </w:r>
      <w:r>
        <w:t xml:space="preserve">A: Pseudomonas aeruginosa.</w:t>
      </w:r>
    </w:p>
    <w:p>
      <w:pPr>
        <w:pStyle w:val="BodyText"/>
      </w:pPr>
      <w:r>
        <w:rPr>
          <w:b/>
          <w:bCs/>
        </w:rPr>
        <w:t xml:space="preserve">Q34: How does ANC calculation work?</w:t>
      </w:r>
      <w:r>
        <w:t xml:space="preserve"> </w:t>
      </w:r>
      <w:r>
        <w:t xml:space="preserve">A: ANC = (WBC) x (% Neutrophils + % Bands) / 100.</w:t>
      </w:r>
    </w:p>
    <w:p>
      <w:pPr>
        <w:pStyle w:val="BodyText"/>
      </w:pPr>
      <w:r>
        <w:rPr>
          <w:b/>
          <w:bCs/>
        </w:rPr>
        <w:t xml:space="preserve">Q35: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“Prophylactic”</w:t>
      </w:r>
      <w:r>
        <w:rPr>
          <w:b/>
          <w:bCs/>
        </w:rPr>
        <w:t xml:space="preserve"> </w:t>
      </w:r>
      <w:r>
        <w:rPr>
          <w:b/>
          <w:bCs/>
        </w:rPr>
        <w:t xml:space="preserve">G-CSF?</w:t>
      </w:r>
      <w:r>
        <w:t xml:space="preserve"> </w:t>
      </w:r>
      <w:r>
        <w:t xml:space="preserve">A: Given to prevent neutropenia in subsequent chemo cycles if the risk of febrile neutropenia is &gt;20%.</w:t>
      </w:r>
    </w:p>
    <w:bookmarkEnd w:id="11"/>
    <w:bookmarkStart w:id="12" w:name="q36-q55-superior-vena-cava-svc-syndrome"/>
    <w:p>
      <w:pPr>
        <w:pStyle w:val="Heading3"/>
      </w:pPr>
      <w:r>
        <w:t xml:space="preserve">Q36-Q55: Superior Vena Cava (SVC) Syndrome</w:t>
      </w:r>
    </w:p>
    <w:p>
      <w:pPr>
        <w:pStyle w:val="FirstParagraph"/>
      </w:pPr>
      <w:r>
        <w:rPr>
          <w:b/>
          <w:bCs/>
        </w:rPr>
        <w:t xml:space="preserve">Q36: What is the most common cause of SVC syndrome today?</w:t>
      </w:r>
      <w:r>
        <w:t xml:space="preserve"> </w:t>
      </w:r>
      <w:r>
        <w:t xml:space="preserve">A: Malignancy (NSCLC, SCLC, Lymphoma).</w:t>
      </w:r>
    </w:p>
    <w:p>
      <w:pPr>
        <w:pStyle w:val="BodyText"/>
      </w:pPr>
      <w:r>
        <w:rPr>
          <w:b/>
          <w:bCs/>
        </w:rPr>
        <w:t xml:space="preserve">Q37: Define SVC Syndrome.</w:t>
      </w:r>
      <w:r>
        <w:t xml:space="preserve"> </w:t>
      </w:r>
      <w:r>
        <w:t xml:space="preserve">A: Obstruction of blood flow through the SVC, leading to venous congestion in the head, neck, and upper extremities.</w:t>
      </w:r>
    </w:p>
    <w:p>
      <w:pPr>
        <w:pStyle w:val="BodyText"/>
      </w:pPr>
      <w:r>
        <w:rPr>
          <w:b/>
          <w:bCs/>
        </w:rPr>
        <w:t xml:space="preserve">Q38: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“Red Flag”</w:t>
      </w:r>
      <w:r>
        <w:rPr>
          <w:b/>
          <w:bCs/>
        </w:rPr>
        <w:t xml:space="preserve"> </w:t>
      </w:r>
      <w:r>
        <w:rPr>
          <w:b/>
          <w:bCs/>
        </w:rPr>
        <w:t xml:space="preserve">symptoms of SVC syndrome?</w:t>
      </w:r>
      <w:r>
        <w:t xml:space="preserve"> </w:t>
      </w:r>
      <w:r>
        <w:t xml:space="preserve">A: Stridor (laryngeal edema) and altered mental status (cerebral edema).</w:t>
      </w:r>
    </w:p>
    <w:p>
      <w:pPr>
        <w:pStyle w:val="BodyText"/>
      </w:pPr>
      <w:r>
        <w:rPr>
          <w:b/>
          <w:bCs/>
        </w:rPr>
        <w:t xml:space="preserve">Q39: What is Pemberton’s Sign?</w:t>
      </w:r>
      <w:r>
        <w:t xml:space="preserve"> </w:t>
      </w:r>
      <w:r>
        <w:t xml:space="preserve">A: Facial flushing and neck vein distension when the patient raises both arms above their head.</w:t>
      </w:r>
    </w:p>
    <w:p>
      <w:pPr>
        <w:pStyle w:val="BodyText"/>
      </w:pPr>
      <w:r>
        <w:rPr>
          <w:b/>
          <w:bCs/>
        </w:rPr>
        <w:t xml:space="preserve">Q40: What is the imaging modality of choice?</w:t>
      </w:r>
      <w:r>
        <w:t xml:space="preserve"> </w:t>
      </w:r>
      <w:r>
        <w:t xml:space="preserve">A: Contrast-enhanced CT Thorax.</w:t>
      </w:r>
    </w:p>
    <w:p>
      <w:pPr>
        <w:pStyle w:val="BodyText"/>
      </w:pPr>
      <w:r>
        <w:rPr>
          <w:b/>
          <w:bCs/>
        </w:rPr>
        <w:t xml:space="preserve">Q41: How is SVC syndrome graded?</w:t>
      </w:r>
      <w:r>
        <w:t xml:space="preserve"> </w:t>
      </w:r>
      <w:r>
        <w:t xml:space="preserve">A: Kishi scale or Yale scale (Grade 0-4).</w:t>
      </w:r>
    </w:p>
    <w:p>
      <w:pPr>
        <w:pStyle w:val="BodyText"/>
      </w:pPr>
      <w:r>
        <w:rPr>
          <w:b/>
          <w:bCs/>
        </w:rPr>
        <w:t xml:space="preserve">Q42: What is the immediate medical management?</w:t>
      </w:r>
      <w:r>
        <w:t xml:space="preserve"> </w:t>
      </w:r>
      <w:r>
        <w:t xml:space="preserve">A: Head of bed elevation, oxygen, and IV Dexamethasone.</w:t>
      </w:r>
    </w:p>
    <w:p>
      <w:pPr>
        <w:pStyle w:val="BodyText"/>
      </w:pPr>
      <w:r>
        <w:rPr>
          <w:b/>
          <w:bCs/>
        </w:rPr>
        <w:t xml:space="preserve">Q43: When is SVC stenting preferred over radiation?</w:t>
      </w:r>
      <w:r>
        <w:t xml:space="preserve"> </w:t>
      </w:r>
      <w:r>
        <w:t xml:space="preserve">A: For rapid symptom relief, especially in severe (Grade 3/4) obstruction.</w:t>
      </w:r>
    </w:p>
    <w:p>
      <w:pPr>
        <w:pStyle w:val="BodyText"/>
      </w:pPr>
      <w:r>
        <w:rPr>
          <w:b/>
          <w:bCs/>
        </w:rPr>
        <w:t xml:space="preserve">Q44: What is the role of Radiotherapy in SVC syndrome?</w:t>
      </w:r>
      <w:r>
        <w:t xml:space="preserve"> </w:t>
      </w:r>
      <w:r>
        <w:t xml:space="preserve">A: Standard treatment for radio-sensitive tumors (e.g., SCLC, Lymphoma) if not already stented.</w:t>
      </w:r>
    </w:p>
    <w:p>
      <w:pPr>
        <w:pStyle w:val="BodyText"/>
      </w:pPr>
      <w:r>
        <w:rPr>
          <w:b/>
          <w:bCs/>
        </w:rPr>
        <w:t xml:space="preserve">Q45: Should patients with SVC syndrome receive anticoagulation?</w:t>
      </w:r>
      <w:r>
        <w:t xml:space="preserve"> </w:t>
      </w:r>
      <w:r>
        <w:t xml:space="preserve">A: Only if there is an associated thrombus (common with indwelling catheters).</w:t>
      </w:r>
    </w:p>
    <w:p>
      <w:pPr>
        <w:pStyle w:val="BodyText"/>
      </w:pPr>
      <w:r>
        <w:rPr>
          <w:b/>
          <w:bCs/>
        </w:rPr>
        <w:t xml:space="preserve">Q46: Is SVC syndrome usually an immediate life-threat?</w:t>
      </w:r>
      <w:r>
        <w:t xml:space="preserve"> </w:t>
      </w:r>
      <w:r>
        <w:t xml:space="preserve">A: Rarely, unless there is airway compromise or cerebral edema.</w:t>
      </w:r>
    </w:p>
    <w:p>
      <w:pPr>
        <w:pStyle w:val="BodyText"/>
      </w:pPr>
      <w:r>
        <w:rPr>
          <w:b/>
          <w:bCs/>
        </w:rPr>
        <w:t xml:space="preserve">Q47: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“Sunburst”</w:t>
      </w:r>
      <w:r>
        <w:rPr>
          <w:b/>
          <w:bCs/>
        </w:rPr>
        <w:t xml:space="preserve"> </w:t>
      </w:r>
      <w:r>
        <w:rPr>
          <w:b/>
          <w:bCs/>
        </w:rPr>
        <w:t xml:space="preserve">appearance on CT?</w:t>
      </w:r>
      <w:r>
        <w:t xml:space="preserve"> </w:t>
      </w:r>
      <w:r>
        <w:t xml:space="preserve">A: Prominent collateral venous circulation.</w:t>
      </w:r>
    </w:p>
    <w:p>
      <w:pPr>
        <w:pStyle w:val="BodyText"/>
      </w:pPr>
      <w:r>
        <w:rPr>
          <w:b/>
          <w:bCs/>
        </w:rPr>
        <w:t xml:space="preserve">Q48: Can SVC syndrome be treated with chemotherapy alone?</w:t>
      </w:r>
      <w:r>
        <w:t xml:space="preserve"> </w:t>
      </w:r>
      <w:r>
        <w:t xml:space="preserve">A: Yes, in highly chemo-sensitive tumors like Lymphoma or Small Cell Lung Cancer.</w:t>
      </w:r>
    </w:p>
    <w:p>
      <w:pPr>
        <w:pStyle w:val="BodyText"/>
      </w:pPr>
      <w:r>
        <w:rPr>
          <w:b/>
          <w:bCs/>
        </w:rPr>
        <w:t xml:space="preserve">Q49: What is the most common benign cause?</w:t>
      </w:r>
      <w:r>
        <w:t xml:space="preserve"> </w:t>
      </w:r>
      <w:r>
        <w:t xml:space="preserve">A: Indwelling venous catheters or pacemaker leads causing thrombosis.</w:t>
      </w:r>
    </w:p>
    <w:p>
      <w:pPr>
        <w:pStyle w:val="BodyText"/>
      </w:pPr>
      <w:r>
        <w:rPr>
          <w:b/>
          <w:bCs/>
        </w:rPr>
        <w:t xml:space="preserve">Q50: Why are diuretics used cautiously?</w:t>
      </w:r>
      <w:r>
        <w:t xml:space="preserve"> </w:t>
      </w:r>
      <w:r>
        <w:t xml:space="preserve">A: They may decrease preload and worsen cardiac output in the setting of obstruction.</w:t>
      </w:r>
    </w:p>
    <w:p>
      <w:pPr>
        <w:pStyle w:val="BodyText"/>
      </w:pPr>
      <w:r>
        <w:rPr>
          <w:b/>
          <w:bCs/>
        </w:rPr>
        <w:t xml:space="preserve">Q51: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“SVC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“SVC obstruction”</w:t>
      </w:r>
      <w:r>
        <w:rPr>
          <w:b/>
          <w:bCs/>
        </w:rPr>
        <w:t xml:space="preserve">?</w:t>
      </w:r>
      <w:r>
        <w:t xml:space="preserve"> </w:t>
      </w:r>
      <w:r>
        <w:t xml:space="preserve">A: Obstruction is the anatomical block; Syndrome is the clinical manifestation.</w:t>
      </w:r>
    </w:p>
    <w:p>
      <w:pPr>
        <w:pStyle w:val="BodyText"/>
      </w:pPr>
      <w:r>
        <w:rPr>
          <w:b/>
          <w:bCs/>
        </w:rPr>
        <w:t xml:space="preserve">Q52: What is the role of a biopsy?</w:t>
      </w:r>
      <w:r>
        <w:t xml:space="preserve"> </w:t>
      </w:r>
      <w:r>
        <w:t xml:space="preserve">A: Essential before starting definitive RT/Chemo unless the patient is in extremis.</w:t>
      </w:r>
    </w:p>
    <w:p>
      <w:pPr>
        <w:pStyle w:val="BodyText"/>
      </w:pPr>
      <w:r>
        <w:rPr>
          <w:b/>
          <w:bCs/>
        </w:rPr>
        <w:t xml:space="preserve">Q53: Where should IV access be obtained?</w:t>
      </w:r>
      <w:r>
        <w:t xml:space="preserve"> </w:t>
      </w:r>
      <w:r>
        <w:t xml:space="preserve">A: In the lower extremities if possible, to avoid pushing meds into the obstructed system.</w:t>
      </w:r>
    </w:p>
    <w:p>
      <w:pPr>
        <w:pStyle w:val="BodyText"/>
      </w:pPr>
      <w:r>
        <w:rPr>
          <w:b/>
          <w:bCs/>
        </w:rPr>
        <w:t xml:space="preserve">Q54: What is the 30-day mortality for malignant SVC syndrome?</w:t>
      </w:r>
      <w:r>
        <w:t xml:space="preserve"> </w:t>
      </w:r>
      <w:r>
        <w:t xml:space="preserve">A: Approximately 10%, often due to the underlying advanced cancer.</w:t>
      </w:r>
    </w:p>
    <w:p>
      <w:pPr>
        <w:pStyle w:val="BodyText"/>
      </w:pPr>
      <w:r>
        <w:rPr>
          <w:b/>
          <w:bCs/>
        </w:rPr>
        <w:t xml:space="preserve">Q55: How does SVC syndrome affect airway management?</w:t>
      </w:r>
      <w:r>
        <w:t xml:space="preserve"> </w:t>
      </w:r>
      <w:r>
        <w:t xml:space="preserve">A: It can cause laryngeal edema, making intubation difficult.</w:t>
      </w:r>
    </w:p>
    <w:bookmarkEnd w:id="12"/>
    <w:bookmarkStart w:id="13" w:name="q56-q75-tumor-lysis-syndrome-tls"/>
    <w:p>
      <w:pPr>
        <w:pStyle w:val="Heading3"/>
      </w:pPr>
      <w:r>
        <w:t xml:space="preserve">Q56-Q75: Tumor Lysis Syndrome (TLS)</w:t>
      </w:r>
    </w:p>
    <w:p>
      <w:pPr>
        <w:pStyle w:val="FirstParagraph"/>
      </w:pPr>
      <w:r>
        <w:rPr>
          <w:b/>
          <w:bCs/>
        </w:rPr>
        <w:t xml:space="preserve">Q56: What are the 4 hallmark electrolyte abnormalities in TLS?</w:t>
      </w:r>
      <w:r>
        <w:t xml:space="preserve"> </w:t>
      </w:r>
      <w:r>
        <w:t xml:space="preserve">A: Hyperuricemia, Hyperkalemia, Hyperphosphatemia, and Hypocalcemia.</w:t>
      </w:r>
    </w:p>
    <w:p>
      <w:pPr>
        <w:pStyle w:val="BodyText"/>
      </w:pPr>
      <w:r>
        <w:rPr>
          <w:b/>
          <w:bCs/>
        </w:rPr>
        <w:t xml:space="preserve">Q57: Define Laboratory TLS (Cairo-Bishop criteria).</w:t>
      </w:r>
      <w:r>
        <w:t xml:space="preserve"> </w:t>
      </w:r>
      <w:r>
        <w:t xml:space="preserve">A: Two or more electrolyte abnormalities occurring 3 days before or up to 7 days after starting chemo.</w:t>
      </w:r>
    </w:p>
    <w:p>
      <w:pPr>
        <w:pStyle w:val="BodyText"/>
      </w:pPr>
      <w:r>
        <w:rPr>
          <w:b/>
          <w:bCs/>
        </w:rPr>
        <w:t xml:space="preserve">Q58: Define Clinical TLS.</w:t>
      </w:r>
      <w:r>
        <w:t xml:space="preserve"> </w:t>
      </w:r>
      <w:r>
        <w:t xml:space="preserve">A: Lab TLS plus one of: Renal failure (Cr &gt;1.5x ULN), Cardiac arrhythmia/sudden death, or Seizures.</w:t>
      </w:r>
    </w:p>
    <w:p>
      <w:pPr>
        <w:pStyle w:val="BodyText"/>
      </w:pPr>
      <w:r>
        <w:rPr>
          <w:b/>
          <w:bCs/>
        </w:rPr>
        <w:t xml:space="preserve">Q59: Which cancers are at highest risk for TLS?</w:t>
      </w:r>
      <w:r>
        <w:t xml:space="preserve"> </w:t>
      </w:r>
      <w:r>
        <w:t xml:space="preserve">A: Burkitt Lymphoma, ALL, and AML with high WBC count.</w:t>
      </w:r>
    </w:p>
    <w:p>
      <w:pPr>
        <w:pStyle w:val="BodyText"/>
      </w:pPr>
      <w:r>
        <w:rPr>
          <w:b/>
          <w:bCs/>
        </w:rPr>
        <w:t xml:space="preserve">Q60: What is the mechanism of Rasburicase?</w:t>
      </w:r>
      <w:r>
        <w:t xml:space="preserve"> </w:t>
      </w:r>
      <w:r>
        <w:t xml:space="preserve">A: Recombinant urate oxidase that converts uric acid into allantoin (more soluble).</w:t>
      </w:r>
    </w:p>
    <w:p>
      <w:pPr>
        <w:pStyle w:val="BodyText"/>
      </w:pPr>
      <w:r>
        <w:rPr>
          <w:b/>
          <w:bCs/>
        </w:rPr>
        <w:t xml:space="preserve">Q61: What is the mechanism of Allopurinol?</w:t>
      </w:r>
      <w:r>
        <w:t xml:space="preserve"> </w:t>
      </w:r>
      <w:r>
        <w:t xml:space="preserve">A: Xanthine oxidase inhibitor; prevents</w:t>
      </w:r>
      <w:r>
        <w:t xml:space="preserve"> </w:t>
      </w:r>
      <w:r>
        <w:rPr>
          <w:i/>
          <w:iCs/>
        </w:rPr>
        <w:t xml:space="preserve">formation</w:t>
      </w:r>
      <w:r>
        <w:t xml:space="preserve"> </w:t>
      </w:r>
      <w:r>
        <w:t xml:space="preserve">of new uric acid but doesn’t lower existing levels.</w:t>
      </w:r>
    </w:p>
    <w:p>
      <w:pPr>
        <w:pStyle w:val="BodyText"/>
      </w:pPr>
      <w:r>
        <w:rPr>
          <w:b/>
          <w:bCs/>
        </w:rPr>
        <w:t xml:space="preserve">Q62: Why is Allopurinol contraindicated with Rasburicase?</w:t>
      </w:r>
      <w:r>
        <w:t xml:space="preserve"> </w:t>
      </w:r>
      <w:r>
        <w:t xml:space="preserve">A: It slows the conversion of xanthine to uric acid; xanthine is also insoluble and can cause stones (Xanthine nephropathy).</w:t>
      </w:r>
    </w:p>
    <w:p>
      <w:pPr>
        <w:pStyle w:val="BodyText"/>
      </w:pPr>
      <w:r>
        <w:rPr>
          <w:b/>
          <w:bCs/>
        </w:rPr>
        <w:t xml:space="preserve">Q63: What is the main contraindication for Rasburicase?</w:t>
      </w:r>
      <w:r>
        <w:t xml:space="preserve"> </w:t>
      </w:r>
      <w:r>
        <w:t xml:space="preserve">A: G6PD deficiency (risk of hemolysis).</w:t>
      </w:r>
    </w:p>
    <w:p>
      <w:pPr>
        <w:pStyle w:val="BodyText"/>
      </w:pPr>
      <w:r>
        <w:rPr>
          <w:b/>
          <w:bCs/>
        </w:rPr>
        <w:t xml:space="preserve">Q64: How is hyperkalemia treated in TLS?</w:t>
      </w:r>
      <w:r>
        <w:t xml:space="preserve"> </w:t>
      </w:r>
      <w:r>
        <w:t xml:space="preserve">A: Calcium gluconate (for cardiac stabilization), Insulin/Dextrose, and potentially dialysis.</w:t>
      </w:r>
    </w:p>
    <w:p>
      <w:pPr>
        <w:pStyle w:val="BodyText"/>
      </w:pPr>
      <w:r>
        <w:rPr>
          <w:b/>
          <w:bCs/>
        </w:rPr>
        <w:t xml:space="preserve">Q65: Why is IV calcium avoided in TLS unless symptoms are present?</w:t>
      </w:r>
      <w:r>
        <w:t xml:space="preserve"> </w:t>
      </w:r>
      <w:r>
        <w:t xml:space="preserve">A: Risk of calcium-phosphate precipitation in the kidneys.</w:t>
      </w:r>
    </w:p>
    <w:p>
      <w:pPr>
        <w:pStyle w:val="BodyText"/>
      </w:pPr>
      <w:r>
        <w:rPr>
          <w:b/>
          <w:bCs/>
        </w:rPr>
        <w:t xml:space="preserve">Q66: What is the target for aggressive hydration in TLS?</w:t>
      </w:r>
      <w:r>
        <w:t xml:space="preserve"> </w:t>
      </w:r>
      <w:r>
        <w:t xml:space="preserve">A: 3 L/m²/day to maintain urine output &gt;100 mL/hr.</w:t>
      </w:r>
    </w:p>
    <w:p>
      <w:pPr>
        <w:pStyle w:val="BodyText"/>
      </w:pPr>
      <w:r>
        <w:rPr>
          <w:b/>
          <w:bCs/>
        </w:rPr>
        <w:t xml:space="preserve">Q67: Is urinary alkalinization recommended?</w:t>
      </w:r>
      <w:r>
        <w:t xml:space="preserve"> </w:t>
      </w:r>
      <w:r>
        <w:t xml:space="preserve">A: No. It may increase calcium-phosphate precipitation and is no longer standard practice.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“Low Risk”</w:t>
      </w:r>
      <w:r>
        <w:rPr>
          <w:b/>
          <w:bCs/>
        </w:rPr>
        <w:t xml:space="preserve"> </w:t>
      </w:r>
      <w:r>
        <w:rPr>
          <w:b/>
          <w:bCs/>
        </w:rPr>
        <w:t xml:space="preserve">TLS group management?</w:t>
      </w:r>
      <w:r>
        <w:t xml:space="preserve"> </w:t>
      </w:r>
      <w:r>
        <w:t xml:space="preserve">A: Monitoring and hydration.</w:t>
      </w:r>
    </w:p>
    <w:p>
      <w:pPr>
        <w:pStyle w:val="BodyText"/>
      </w:pPr>
      <w:r>
        <w:rPr>
          <w:b/>
          <w:bCs/>
        </w:rPr>
        <w:t xml:space="preserve">Q69: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“High Risk”</w:t>
      </w:r>
      <w:r>
        <w:rPr>
          <w:b/>
          <w:bCs/>
        </w:rPr>
        <w:t xml:space="preserve"> </w:t>
      </w:r>
      <w:r>
        <w:rPr>
          <w:b/>
          <w:bCs/>
        </w:rPr>
        <w:t xml:space="preserve">TLS group management?</w:t>
      </w:r>
      <w:r>
        <w:t xml:space="preserve"> </w:t>
      </w:r>
      <w:r>
        <w:t xml:space="preserve">A: Prophylactic Rasburicase and aggressive hydration.</w:t>
      </w:r>
    </w:p>
    <w:p>
      <w:pPr>
        <w:pStyle w:val="BodyText"/>
      </w:pPr>
      <w:r>
        <w:rPr>
          <w:b/>
          <w:bCs/>
        </w:rPr>
        <w:t xml:space="preserve">Q70: How does Rasburicase affect uric acid lab samples?</w:t>
      </w:r>
      <w:r>
        <w:t xml:space="preserve"> </w:t>
      </w:r>
      <w:r>
        <w:t xml:space="preserve">A: Samples must be kept on ice to prevent the enzyme from continuing to break down uric acid in the tube (causing false lows).</w:t>
      </w:r>
    </w:p>
    <w:p>
      <w:pPr>
        <w:pStyle w:val="BodyText"/>
      </w:pPr>
      <w:r>
        <w:rPr>
          <w:b/>
          <w:bCs/>
        </w:rPr>
        <w:t xml:space="preserve">Q71: When is dialysis indicated in TLS?</w:t>
      </w:r>
      <w:r>
        <w:t xml:space="preserve"> </w:t>
      </w:r>
      <w:r>
        <w:t xml:space="preserve">A: Refractory hyperkalemia, severe oliguria, or symptomatic hypocalcemia.</w:t>
      </w:r>
    </w:p>
    <w:p>
      <w:pPr>
        <w:pStyle w:val="BodyText"/>
      </w:pPr>
      <w:r>
        <w:rPr>
          <w:b/>
          <w:bCs/>
        </w:rPr>
        <w:t xml:space="preserve">Q72: What is the significance of the Calcium-Phosphate product?</w:t>
      </w:r>
      <w:r>
        <w:t xml:space="preserve"> </w:t>
      </w:r>
      <w:r>
        <w:t xml:space="preserve">A: Product &gt;60 increases risk of ectopic calcification.</w:t>
      </w:r>
    </w:p>
    <w:p>
      <w:pPr>
        <w:pStyle w:val="BodyText"/>
      </w:pPr>
      <w:r>
        <w:rPr>
          <w:b/>
          <w:bCs/>
        </w:rPr>
        <w:t xml:space="preserve">Q73: Can TLS occur spontaneously?</w:t>
      </w:r>
      <w:r>
        <w:t xml:space="preserve"> </w:t>
      </w:r>
      <w:r>
        <w:t xml:space="preserve">A: Yes,</w:t>
      </w:r>
      <w:r>
        <w:t xml:space="preserve"> </w:t>
      </w:r>
      <w:r>
        <w:t xml:space="preserve">“Spontaneous TLS”</w:t>
      </w:r>
      <w:r>
        <w:t xml:space="preserve"> </w:t>
      </w:r>
      <w:r>
        <w:t xml:space="preserve">occurs before treatment, usually in very high-grade lymphomas.</w:t>
      </w:r>
    </w:p>
    <w:p>
      <w:pPr>
        <w:pStyle w:val="BodyText"/>
      </w:pPr>
      <w:r>
        <w:rPr>
          <w:b/>
          <w:bCs/>
        </w:rPr>
        <w:t xml:space="preserve">Q74: What is the role of Febuxostat?</w:t>
      </w:r>
      <w:r>
        <w:t xml:space="preserve"> </w:t>
      </w:r>
      <w:r>
        <w:t xml:space="preserve">A: An alternative xanthine oxidase inhibitor for patients intolerant to allopurinol.</w:t>
      </w:r>
    </w:p>
    <w:p>
      <w:pPr>
        <w:pStyle w:val="BodyText"/>
      </w:pPr>
      <w:r>
        <w:rPr>
          <w:b/>
          <w:bCs/>
        </w:rPr>
        <w:t xml:space="preserve">Q75: What is the primary cause of death in acute TLS?</w:t>
      </w:r>
      <w:r>
        <w:t xml:space="preserve"> </w:t>
      </w:r>
      <w:r>
        <w:t xml:space="preserve">A: Cardiac arrhythmia due to hyperkalemia.</w:t>
      </w:r>
    </w:p>
    <w:bookmarkEnd w:id="13"/>
    <w:bookmarkStart w:id="14" w:name="q76-q90-hypercalcemia-of-malignancy"/>
    <w:p>
      <w:pPr>
        <w:pStyle w:val="Heading3"/>
      </w:pPr>
      <w:r>
        <w:t xml:space="preserve">Q76-Q90: Hypercalcemia of Malignancy</w:t>
      </w:r>
    </w:p>
    <w:p>
      <w:pPr>
        <w:pStyle w:val="FirstParagraph"/>
      </w:pPr>
      <w:r>
        <w:rPr>
          <w:b/>
          <w:bCs/>
        </w:rPr>
        <w:t xml:space="preserve">Q76: What is the most common cause of hypercalcemia in hospitalized patients?</w:t>
      </w:r>
      <w:r>
        <w:t xml:space="preserve"> </w:t>
      </w:r>
      <w:r>
        <w:t xml:space="preserve">A: Malignancy.</w:t>
      </w:r>
    </w:p>
    <w:p>
      <w:pPr>
        <w:pStyle w:val="BodyText"/>
      </w:pPr>
      <w:r>
        <w:rPr>
          <w:b/>
          <w:bCs/>
        </w:rPr>
        <w:t xml:space="preserve">Q77: What are the three mechanisms of malignancy-associated hypercalcemia?</w:t>
      </w:r>
      <w:r>
        <w:t xml:space="preserve"> </w:t>
      </w:r>
      <w:r>
        <w:t xml:space="preserve">A: 1. Humoral (PTHrP - 80%); 2. Bone metastases (Osteolysis); 3. Vitamin D production (Lymphomas).</w:t>
      </w:r>
    </w:p>
    <w:p>
      <w:pPr>
        <w:pStyle w:val="BodyText"/>
      </w:pPr>
      <w:r>
        <w:rPr>
          <w:b/>
          <w:bCs/>
        </w:rPr>
        <w:t xml:space="preserve">Q78: What is the formula for Corrected Calcium?</w:t>
      </w:r>
      <w:r>
        <w:t xml:space="preserve"> </w:t>
      </w:r>
      <w:r>
        <w:t xml:space="preserve">A: Corrected Ca = Measured Ca + 0.8 * (4.0 - Albumin).</w:t>
      </w:r>
    </w:p>
    <w:p>
      <w:pPr>
        <w:pStyle w:val="BodyText"/>
      </w:pPr>
      <w:r>
        <w:rPr>
          <w:b/>
          <w:bCs/>
        </w:rPr>
        <w:t xml:space="preserve">Q79: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“Severe”</w:t>
      </w:r>
      <w:r>
        <w:rPr>
          <w:b/>
          <w:bCs/>
        </w:rPr>
        <w:t xml:space="preserve"> </w:t>
      </w:r>
      <w:r>
        <w:rPr>
          <w:b/>
          <w:bCs/>
        </w:rPr>
        <w:t xml:space="preserve">hypercalcemia?</w:t>
      </w:r>
      <w:r>
        <w:t xml:space="preserve"> </w:t>
      </w:r>
      <w:r>
        <w:t xml:space="preserve">A: Corrected Calcium &gt;14 mg/dL (3.5 mmol/L).</w:t>
      </w:r>
    </w:p>
    <w:p>
      <w:pPr>
        <w:pStyle w:val="BodyText"/>
      </w:pPr>
      <w:r>
        <w:rPr>
          <w:b/>
          <w:bCs/>
        </w:rPr>
        <w:t xml:space="preserve">Q80: What is the first-line treatment?</w:t>
      </w:r>
      <w:r>
        <w:t xml:space="preserve"> </w:t>
      </w:r>
      <w:r>
        <w:t xml:space="preserve">A: Aggressive IV hydration (NS or balanced crystalloid) at 200-500 mL/hr.</w:t>
      </w:r>
    </w:p>
    <w:p>
      <w:pPr>
        <w:pStyle w:val="BodyText"/>
      </w:pPr>
      <w:r>
        <w:rPr>
          <w:b/>
          <w:bCs/>
        </w:rPr>
        <w:t xml:space="preserve">Q81: When should Bisphosphonates be given?</w:t>
      </w:r>
      <w:r>
        <w:t xml:space="preserve"> </w:t>
      </w:r>
      <w:r>
        <w:t xml:space="preserve">A: After rehydration. Zoledronic acid (4mg) or Pamidronate.</w:t>
      </w:r>
    </w:p>
    <w:p>
      <w:pPr>
        <w:pStyle w:val="BodyText"/>
      </w:pPr>
      <w:r>
        <w:rPr>
          <w:b/>
          <w:bCs/>
        </w:rPr>
        <w:t xml:space="preserve">Q82: How long does it take for Bisphosphonates to work?</w:t>
      </w:r>
      <w:r>
        <w:t xml:space="preserve"> </w:t>
      </w:r>
      <w:r>
        <w:t xml:space="preserve">A: 2-4 days; peak effect at 7 days.</w:t>
      </w:r>
    </w:p>
    <w:p>
      <w:pPr>
        <w:pStyle w:val="BodyText"/>
      </w:pPr>
      <w:r>
        <w:rPr>
          <w:b/>
          <w:bCs/>
        </w:rPr>
        <w:t xml:space="preserve">Q83: What is the role of Calcitonin?</w:t>
      </w:r>
      <w:r>
        <w:t xml:space="preserve"> </w:t>
      </w:r>
      <w:r>
        <w:t xml:space="preserve">A: Provides rapid (within hours) but transient (tachyphylaxis) reduction in calcium.</w:t>
      </w:r>
    </w:p>
    <w:p>
      <w:pPr>
        <w:pStyle w:val="BodyText"/>
      </w:pPr>
      <w:r>
        <w:rPr>
          <w:b/>
          <w:bCs/>
        </w:rPr>
        <w:t xml:space="preserve">Q84: When is Denosumab used for hypercalcemia?</w:t>
      </w:r>
      <w:r>
        <w:t xml:space="preserve"> </w:t>
      </w:r>
      <w:r>
        <w:t xml:space="preserve">A: In cases refractory to bisphosphonates or in severe renal failure.</w:t>
      </w:r>
    </w:p>
    <w:p>
      <w:pPr>
        <w:pStyle w:val="BodyText"/>
      </w:pPr>
      <w:r>
        <w:rPr>
          <w:b/>
          <w:bCs/>
        </w:rPr>
        <w:t xml:space="preserve">Q85: Why are Loop Diuretics used sparingly?</w:t>
      </w:r>
      <w:r>
        <w:t xml:space="preserve"> </w:t>
      </w:r>
      <w:r>
        <w:t xml:space="preserve">A: Only to prevent volume overload; they are not effective as primary calcium-lowering agents.</w:t>
      </w:r>
    </w:p>
    <w:p>
      <w:pPr>
        <w:pStyle w:val="BodyText"/>
      </w:pPr>
      <w:r>
        <w:rPr>
          <w:b/>
          <w:bCs/>
        </w:rPr>
        <w:t xml:space="preserve">Q86: What are the EKG findings in hypercalcemia?</w:t>
      </w:r>
      <w:r>
        <w:t xml:space="preserve"> </w:t>
      </w:r>
      <w:r>
        <w:t xml:space="preserve">A: Shortened QT interval.</w:t>
      </w:r>
    </w:p>
    <w:p>
      <w:pPr>
        <w:pStyle w:val="BodyText"/>
      </w:pPr>
      <w:r>
        <w:rPr>
          <w:b/>
          <w:bCs/>
        </w:rPr>
        <w:t xml:space="preserve">Q87: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“Humoral”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 (PTHrP)?</w:t>
      </w:r>
      <w:r>
        <w:t xml:space="preserve"> </w:t>
      </w:r>
      <w:r>
        <w:t xml:space="preserve">A: Tumor secretes Parathyroid Hormone-related Protein, which acts like PTH but isn’t suppressed by high Ca.</w:t>
      </w:r>
    </w:p>
    <w:p>
      <w:pPr>
        <w:pStyle w:val="BodyText"/>
      </w:pPr>
      <w:r>
        <w:rPr>
          <w:b/>
          <w:bCs/>
        </w:rPr>
        <w:t xml:space="preserve">Q88: Which cancers are associated with 1,25-dihydroxyvitamin D production?</w:t>
      </w:r>
      <w:r>
        <w:t xml:space="preserve"> </w:t>
      </w:r>
      <w:r>
        <w:t xml:space="preserve">A: Hodgkin and Non-Hodgkin Lymphomas.</w:t>
      </w:r>
    </w:p>
    <w:p>
      <w:pPr>
        <w:pStyle w:val="BodyText"/>
      </w:pPr>
      <w:r>
        <w:rPr>
          <w:b/>
          <w:bCs/>
        </w:rPr>
        <w:t xml:space="preserve">Q89: Is IV phosphorus used?</w:t>
      </w:r>
      <w:r>
        <w:t xml:space="preserve"> </w:t>
      </w:r>
      <w:r>
        <w:t xml:space="preserve">A: No, due to risk of precipitation and organ damage.</w:t>
      </w:r>
    </w:p>
    <w:p>
      <w:pPr>
        <w:pStyle w:val="BodyText"/>
      </w:pPr>
      <w:r>
        <w:rPr>
          <w:b/>
          <w:bCs/>
        </w:rPr>
        <w:t xml:space="preserve">Q90: What is the prognosis of patients with hypercalcemia of malignancy?</w:t>
      </w:r>
      <w:r>
        <w:t xml:space="preserve"> </w:t>
      </w:r>
      <w:r>
        <w:t xml:space="preserve">A: Generally poor, indicating advanced disease (median survival 1-3 months).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is the urgency for MRI in suspected Spinal Cord Compression (MSCC)?</w:t>
      </w:r>
      <w:r>
        <w:t xml:space="preserve"> </w:t>
      </w:r>
      <w:r>
        <w:t xml:space="preserve">A: Within 24 hours (BSH/NICE guidelines).</w:t>
      </w:r>
    </w:p>
    <w:p>
      <w:pPr>
        <w:pStyle w:val="BodyText"/>
      </w:pPr>
      <w:r>
        <w:rPr>
          <w:b/>
          <w:bCs/>
        </w:rPr>
        <w:t xml:space="preserve">Q92: What is the first-line medical treatment for MSCC?</w:t>
      </w:r>
      <w:r>
        <w:t xml:space="preserve"> </w:t>
      </w:r>
      <w:r>
        <w:t xml:space="preserve">A: Dexamethasone (usually 16mg bolus then 16mg/day divided).</w:t>
      </w:r>
    </w:p>
    <w:p>
      <w:pPr>
        <w:pStyle w:val="BodyText"/>
      </w:pPr>
      <w:r>
        <w:rPr>
          <w:b/>
          <w:bCs/>
        </w:rPr>
        <w:t xml:space="preserve">Q93: When is surgery preferred over RT for MSCC?</w:t>
      </w:r>
      <w:r>
        <w:t xml:space="preserve"> </w:t>
      </w:r>
      <w:r>
        <w:t xml:space="preserve">A: Single-level compression, unstable spine, or unknown primary (Patchell Trial).</w:t>
      </w:r>
    </w:p>
    <w:p>
      <w:pPr>
        <w:pStyle w:val="BodyText"/>
      </w:pPr>
      <w:r>
        <w:rPr>
          <w:b/>
          <w:bCs/>
        </w:rPr>
        <w:t xml:space="preserve">Q94: What is the role of ICU in oncological emergencies?</w:t>
      </w:r>
      <w:r>
        <w:t xml:space="preserve"> </w:t>
      </w:r>
      <w:r>
        <w:t xml:space="preserve">A: For organ support (ventilation, vasopressors, RRT) in patients with a reasonable chance of recovery or</w:t>
      </w:r>
      <w:r>
        <w:t xml:space="preserve"> </w:t>
      </w:r>
      <w:r>
        <w:t xml:space="preserve">“ICU trial”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Q95: What defines</w:t>
      </w:r>
      <w:r>
        <w:rPr>
          <w:b/>
          <w:bCs/>
        </w:rPr>
        <w:t xml:space="preserve"> </w:t>
      </w:r>
      <w:r>
        <w:rPr>
          <w:b/>
          <w:bCs/>
        </w:rPr>
        <w:t xml:space="preserve">“Palliative Intent”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ED?</w:t>
      </w:r>
      <w:r>
        <w:t xml:space="preserve"> </w:t>
      </w:r>
      <w:r>
        <w:t xml:space="preserve">A: Focus on symptom relief (morphine, midazolam) and comfort rather than life-prolonging interventions.</w:t>
      </w:r>
    </w:p>
    <w:p>
      <w:pPr>
        <w:pStyle w:val="BodyText"/>
      </w:pPr>
      <w:r>
        <w:rPr>
          <w:b/>
          <w:bCs/>
        </w:rPr>
        <w:t xml:space="preserve">Q96: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“ECOG Performance Status”</w:t>
      </w:r>
      <w:r>
        <w:rPr>
          <w:b/>
          <w:bCs/>
        </w:rPr>
        <w:t xml:space="preserve">?</w:t>
      </w:r>
      <w:r>
        <w:t xml:space="preserve"> </w:t>
      </w:r>
      <w:r>
        <w:t xml:space="preserve">A: A scale (0-5) used to assess how a patient’s disease affects their daily living; crucial for ICU/Treatment decisions.</w:t>
      </w:r>
    </w:p>
    <w:p>
      <w:pPr>
        <w:pStyle w:val="BodyText"/>
      </w:pPr>
      <w:r>
        <w:rPr>
          <w:b/>
          <w:bCs/>
        </w:rPr>
        <w:t xml:space="preserve">Q97: What is the leading cause of non-cancer death in these patients?</w:t>
      </w:r>
      <w:r>
        <w:t xml:space="preserve"> </w:t>
      </w:r>
      <w:r>
        <w:t xml:space="preserve">A: Sepsis.</w:t>
      </w:r>
    </w:p>
    <w:p>
      <w:pPr>
        <w:pStyle w:val="BodyText"/>
      </w:pPr>
      <w:r>
        <w:rPr>
          <w:b/>
          <w:bCs/>
        </w:rPr>
        <w:t xml:space="preserve">Q98: When should a</w:t>
      </w:r>
      <w:r>
        <w:rPr>
          <w:b/>
          <w:bCs/>
        </w:rPr>
        <w:t xml:space="preserve"> </w:t>
      </w:r>
      <w:r>
        <w:rPr>
          <w:b/>
          <w:bCs/>
        </w:rPr>
        <w:t xml:space="preserve">“Full Code”</w:t>
      </w:r>
      <w:r>
        <w:rPr>
          <w:b/>
          <w:bCs/>
        </w:rPr>
        <w:t xml:space="preserve"> </w:t>
      </w:r>
      <w:r>
        <w:rPr>
          <w:b/>
          <w:bCs/>
        </w:rPr>
        <w:t xml:space="preserve">be questioned?</w:t>
      </w:r>
      <w:r>
        <w:t xml:space="preserve"> </w:t>
      </w:r>
      <w:r>
        <w:t xml:space="preserve">A: In cases of refractory cancer, multi-organ failure, and ECOG 3-4.</w:t>
      </w:r>
    </w:p>
    <w:p>
      <w:pPr>
        <w:pStyle w:val="BodyText"/>
      </w:pPr>
      <w:r>
        <w:rPr>
          <w:b/>
          <w:bCs/>
        </w:rPr>
        <w:t xml:space="preserve">Q99: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“Advance Directives”</w:t>
      </w:r>
      <w:r>
        <w:rPr>
          <w:b/>
          <w:bCs/>
        </w:rPr>
        <w:t xml:space="preserve">?</w:t>
      </w:r>
      <w:r>
        <w:t xml:space="preserve"> </w:t>
      </w:r>
      <w:r>
        <w:t xml:space="preserve">A: Legal documents guiding care when the patient lacks capacity (e.g., in confusion).</w:t>
      </w:r>
    </w:p>
    <w:p>
      <w:pPr>
        <w:pStyle w:val="BodyText"/>
      </w:pPr>
      <w:r>
        <w:rPr>
          <w:b/>
          <w:bCs/>
        </w:rPr>
        <w:t xml:space="preserve">Q100: What is the goal of</w:t>
      </w:r>
      <w:r>
        <w:rPr>
          <w:b/>
          <w:bCs/>
        </w:rPr>
        <w:t xml:space="preserve"> </w:t>
      </w:r>
      <w:r>
        <w:rPr>
          <w:b/>
          <w:bCs/>
        </w:rPr>
        <w:t xml:space="preserve">“Definitive Care”</w:t>
      </w:r>
      <w:r>
        <w:rPr>
          <w:b/>
          <w:bCs/>
        </w:rPr>
        <w:t xml:space="preserve"> </w:t>
      </w:r>
      <w:r>
        <w:rPr>
          <w:b/>
          <w:bCs/>
        </w:rPr>
        <w:t xml:space="preserve">in SVC syndrome?</w:t>
      </w:r>
      <w:r>
        <w:t xml:space="preserve"> </w:t>
      </w:r>
      <w:r>
        <w:t xml:space="preserve">A: To transition from acute stabilization to durable tumor control (RT/Chemo).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2026-04-02T22:09:33Z</dcterms:created>
  <dcterms:modified xsi:type="dcterms:W3CDTF">2026-04-02T22:09:33Z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