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3cff2fc16252a1938421a0c11d34a6167d1174"/>
    <w:p>
      <w:pPr>
        <w:pStyle w:val="Heading1"/>
      </w:pPr>
      <w:r>
        <w:t xml:space="preserve">Master Case: Infectious Diarrhea &amp; C. difficile Narrative</w:t>
      </w:r>
    </w:p>
    <w:bookmarkStart w:id="14" w:name="X66470983d97e5c176ee73af10aff772303049de"/>
    <w:p>
      <w:pPr>
        <w:pStyle w:val="Heading2"/>
      </w:pPr>
      <w:r>
        <w:t xml:space="preserve">Clinical Timeline-Based Narrative: The Elderly Patient with Diarrhea</w:t>
      </w:r>
    </w:p>
    <w:bookmarkStart w:id="9" w:name="triage-1000"/>
    <w:p>
      <w:pPr>
        <w:pStyle w:val="Heading3"/>
      </w:pPr>
      <w:r>
        <w:t xml:space="preserve">Triage (10:00):</w:t>
      </w:r>
    </w:p>
    <w:p>
      <w:pPr>
        <w:pStyle w:val="FirstParagraph"/>
      </w:pPr>
      <w:r>
        <w:t xml:space="preserve">A 78-year-old female is brought to the Emergency Department from her skilled nursing facility (SNF) with a 4-day history of profuse, watery diarrhea (8-10 episodes per day) and cramping abdominal pain. She completed a 10-day course of Clindamycin for a dental abscess two weeks ago.</w:t>
      </w:r>
    </w:p>
    <w:bookmarkEnd w:id="9"/>
    <w:bookmarkStart w:id="10" w:name="initial-assessment-1015"/>
    <w:p>
      <w:pPr>
        <w:pStyle w:val="Heading3"/>
      </w:pPr>
      <w:r>
        <w:t xml:space="preserve">Initial Assessment (10:15):</w:t>
      </w:r>
    </w:p>
    <w:p>
      <w:pPr>
        <w:pStyle w:val="FirstParagraph"/>
      </w:pPr>
      <w:r>
        <w:t xml:space="preserve">The patient is frail and appears dehydrated. Vitals: Temp 38.2°C (100.8°F), HR 108 bpm, BP 102/64 mmHg, RR 20 bpm, SpO2 95% on RA. Physical exam reveals a distended abdomen with diffuse tenderness but no rebound or guarding. Bowel sounds are hyperactive.</w:t>
      </w:r>
    </w:p>
    <w:bookmarkEnd w:id="10"/>
    <w:bookmarkStart w:id="11" w:name="diagnostic-workup-1030---1200"/>
    <w:p>
      <w:pPr>
        <w:pStyle w:val="Heading3"/>
      </w:pPr>
      <w:r>
        <w:t xml:space="preserve">Diagnostic Workup (10:30 - 12:00):</w:t>
      </w:r>
    </w:p>
    <w:p>
      <w:pPr>
        <w:pStyle w:val="FirstParagraph"/>
      </w:pPr>
      <w:r>
        <w:t xml:space="preserve">Stat stool studies are ordered, including</w:t>
      </w:r>
      <w:r>
        <w:t xml:space="preserve"> </w:t>
      </w:r>
      <w:r>
        <w:rPr>
          <w:i/>
          <w:iCs/>
        </w:rPr>
        <w:t xml:space="preserve">C. difficile</w:t>
      </w:r>
      <w:r>
        <w:t xml:space="preserve"> </w:t>
      </w:r>
      <w:r>
        <w:t xml:space="preserve">PCR and Toxin EIA, along with a CBC, CMP, and lactate. CBC shows a WBC count of 18,500/µL with 85% neutrophils. Creatinine is 1.6 mg/dL (baseline 0.9 mg/dL). Lactate is 1.8 mmol/L. Stool PCR is positive for</w:t>
      </w:r>
      <w:r>
        <w:t xml:space="preserve"> </w:t>
      </w:r>
      <w:r>
        <w:rPr>
          <w:i/>
          <w:iCs/>
        </w:rPr>
        <w:t xml:space="preserve">C. difficile</w:t>
      </w:r>
      <w:r>
        <w:t xml:space="preserve">, and Toxin EIA is also positive.</w:t>
      </w:r>
    </w:p>
    <w:bookmarkEnd w:id="11"/>
    <w:bookmarkStart w:id="12" w:name="severity-stratification-1215"/>
    <w:p>
      <w:pPr>
        <w:pStyle w:val="Heading3"/>
      </w:pPr>
      <w:r>
        <w:t xml:space="preserve">Severity Stratification (12:15):</w:t>
      </w:r>
    </w:p>
    <w:p>
      <w:pPr>
        <w:pStyle w:val="FirstParagraph"/>
      </w:pPr>
      <w:r>
        <w:t xml:space="preserve">The patient is classified as having</w:t>
      </w:r>
      <w:r>
        <w:t xml:space="preserve"> </w:t>
      </w:r>
      <w:r>
        <w:rPr>
          <w:b/>
          <w:bCs/>
        </w:rPr>
        <w:t xml:space="preserve">Severe C. difficile infection (CDI)</w:t>
      </w:r>
      <w:r>
        <w:t xml:space="preserve"> </w:t>
      </w:r>
      <w:r>
        <w:t xml:space="preserve">based on WBC &gt;15,000/µL and Creatinine &gt;1.5 mg/dL (IDSA 2021 criteria).</w:t>
      </w:r>
    </w:p>
    <w:bookmarkEnd w:id="12"/>
    <w:bookmarkStart w:id="13" w:name="management-definitive-care-1230"/>
    <w:p>
      <w:pPr>
        <w:pStyle w:val="Heading3"/>
      </w:pPr>
      <w:r>
        <w:t xml:space="preserve">Management &amp; Definitive Care (12:30):</w:t>
      </w:r>
    </w:p>
    <w:p>
      <w:pPr>
        <w:pStyle w:val="FirstParagraph"/>
      </w:pPr>
      <w:r>
        <w:t xml:space="preserve">Following the latest IDSA 2021/2024 updates, the patient is started on</w:t>
      </w:r>
      <w:r>
        <w:t xml:space="preserve"> </w:t>
      </w:r>
      <w:r>
        <w:rPr>
          <w:b/>
          <w:bCs/>
        </w:rPr>
        <w:t xml:space="preserve">Fidaxomicin 200 mg PO twice daily</w:t>
      </w:r>
      <w:r>
        <w:t xml:space="preserve"> </w:t>
      </w:r>
      <w:r>
        <w:t xml:space="preserve">for 10 days. She receives aggressive IV fluid resuscitation for dehydration and AKI. She is placed on contact precautions with dedicated equipment and soap-and-water hand hygiene protocols for staff.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rapid-fire-questions-answers"/>
    <w:p>
      <w:pPr>
        <w:pStyle w:val="Heading2"/>
      </w:pPr>
      <w:r>
        <w:t xml:space="preserve">100 Rapid-Fire Questions &amp; Answers</w:t>
      </w:r>
    </w:p>
    <w:bookmarkStart w:id="15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most common risk factor for</w:t>
      </w:r>
      <w:r>
        <w:t xml:space="preserve"> </w:t>
      </w:r>
      <w:r>
        <w:rPr>
          <w:i/>
          <w:iCs/>
        </w:rPr>
        <w:t xml:space="preserve">C. difficile</w:t>
      </w:r>
      <w:r>
        <w:t xml:space="preserve"> </w:t>
      </w:r>
      <w:r>
        <w:t xml:space="preserve">infection?</w:t>
      </w:r>
      <w:r>
        <w:t xml:space="preserve"> </w:t>
      </w:r>
      <w:r>
        <w:t xml:space="preserve">A: Recent antibiotic use (especially Clindamycin, Fluoroquinolones, and 3rd gen Cephalosporins).</w:t>
      </w:r>
    </w:p>
    <w:p>
      <w:pPr>
        <w:pStyle w:val="BodyText"/>
      </w:pPr>
      <w:r>
        <w:t xml:space="preserve">Q2: How many stools per day define</w:t>
      </w:r>
      <w:r>
        <w:t xml:space="preserve"> </w:t>
      </w:r>
      <w:r>
        <w:t xml:space="preserve">“clinically significant”</w:t>
      </w:r>
      <w:r>
        <w:t xml:space="preserve"> </w:t>
      </w:r>
      <w:r>
        <w:t xml:space="preserve">diarrhea for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testing?</w:t>
      </w:r>
      <w:r>
        <w:t xml:space="preserve"> </w:t>
      </w:r>
      <w:r>
        <w:t xml:space="preserve">A: 3 or more unformed (liquid) stools in 24 hours.</w:t>
      </w:r>
    </w:p>
    <w:p>
      <w:pPr>
        <w:pStyle w:val="BodyText"/>
      </w:pPr>
      <w:r>
        <w:t xml:space="preserve">Q3: Is blood or mucus commonly seen in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diarrhea?</w:t>
      </w:r>
      <w:r>
        <w:t xml:space="preserve"> </w:t>
      </w:r>
      <w:r>
        <w:t xml:space="preserve">A: No, it is typically watery; blood/mucus suggests other causes like</w:t>
      </w:r>
      <w:r>
        <w:t xml:space="preserve"> </w:t>
      </w:r>
      <w:r>
        <w:rPr>
          <w:i/>
          <w:iCs/>
        </w:rPr>
        <w:t xml:space="preserve">Shigella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Campylobacter</w:t>
      </w:r>
      <w:r>
        <w:t xml:space="preserve">.</w:t>
      </w:r>
    </w:p>
    <w:p>
      <w:pPr>
        <w:pStyle w:val="BodyText"/>
      </w:pPr>
      <w:r>
        <w:t xml:space="preserve">Q4: Does the presence of fever rule in or out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Fever is common in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but non-specific.</w:t>
      </w:r>
    </w:p>
    <w:p>
      <w:pPr>
        <w:pStyle w:val="BodyText"/>
      </w:pPr>
      <w:r>
        <w:t xml:space="preserve">Q5: Why is travel history important in diarrhea?</w:t>
      </w:r>
      <w:r>
        <w:t xml:space="preserve"> </w:t>
      </w:r>
      <w:r>
        <w:t xml:space="preserve">A: To differentiate community-acquired infections (e.g.,</w:t>
      </w:r>
      <w:r>
        <w:t xml:space="preserve"> </w:t>
      </w:r>
      <w:r>
        <w:rPr>
          <w:i/>
          <w:iCs/>
        </w:rPr>
        <w:t xml:space="preserve">Giardia</w:t>
      </w:r>
      <w:r>
        <w:t xml:space="preserve">,</w:t>
      </w:r>
      <w:r>
        <w:t xml:space="preserve"> </w:t>
      </w:r>
      <w:r>
        <w:rPr>
          <w:i/>
          <w:iCs/>
        </w:rPr>
        <w:t xml:space="preserve">Salmonella</w:t>
      </w:r>
      <w:r>
        <w:t xml:space="preserve">) from healthcare-associated ones.</w:t>
      </w:r>
    </w:p>
    <w:p>
      <w:pPr>
        <w:pStyle w:val="BodyText"/>
      </w:pPr>
      <w:r>
        <w:t xml:space="preserve">Q6: What is the significance of recent hospitalization?</w:t>
      </w:r>
      <w:r>
        <w:t xml:space="preserve"> </w:t>
      </w:r>
      <w:r>
        <w:t xml:space="preserve">A: High risk for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and other multidrug-resistant organisms.</w:t>
      </w:r>
    </w:p>
    <w:p>
      <w:pPr>
        <w:pStyle w:val="BodyText"/>
      </w:pPr>
      <w:r>
        <w:t xml:space="preserve">Q7: Can Proton Pump Inhibitors (PPIs) increase the risk of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Yes, by reducing gastric acidity.</w:t>
      </w:r>
    </w:p>
    <w:p>
      <w:pPr>
        <w:pStyle w:val="BodyText"/>
      </w:pPr>
      <w:r>
        <w:t xml:space="preserve">Q8: What is the significance of the</w:t>
      </w:r>
      <w:r>
        <w:t xml:space="preserve"> </w:t>
      </w:r>
      <w:r>
        <w:t xml:space="preserve">“barnyard smell”</w:t>
      </w:r>
      <w:r>
        <w:t xml:space="preserve"> </w:t>
      </w:r>
      <w:r>
        <w:t xml:space="preserve">in stool?</w:t>
      </w:r>
      <w:r>
        <w:t xml:space="preserve"> </w:t>
      </w:r>
      <w:r>
        <w:t xml:space="preserve">A: Often associated with</w:t>
      </w:r>
      <w:r>
        <w:t xml:space="preserve"> </w:t>
      </w:r>
      <w:r>
        <w:rPr>
          <w:i/>
          <w:iCs/>
        </w:rPr>
        <w:t xml:space="preserve">C. diff</w:t>
      </w:r>
      <w:r>
        <w:t xml:space="preserve">, though not diagnostic.</w:t>
      </w:r>
    </w:p>
    <w:p>
      <w:pPr>
        <w:pStyle w:val="BodyText"/>
      </w:pPr>
      <w:r>
        <w:t xml:space="preserve">Q9: Is abdominal pain a prominent feature of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Yes, typically lower abdominal cramping.</w:t>
      </w:r>
    </w:p>
    <w:p>
      <w:pPr>
        <w:pStyle w:val="BodyText"/>
      </w:pPr>
      <w:r>
        <w:t xml:space="preserve">Q10: Should you test asymptomatic patients for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No, only test patients with symptomatic diarrhea (unformed stools).</w:t>
      </w:r>
    </w:p>
    <w:p>
      <w:pPr>
        <w:pStyle w:val="BodyText"/>
      </w:pPr>
      <w:r>
        <w:t xml:space="preserve">Q11: What is the risk of testing a patient on laxatives?</w:t>
      </w:r>
      <w:r>
        <w:t xml:space="preserve"> </w:t>
      </w:r>
      <w:r>
        <w:t xml:space="preserve">A: High rate of false positives (detecting colonization rather than active infection).</w:t>
      </w:r>
    </w:p>
    <w:p>
      <w:pPr>
        <w:pStyle w:val="BodyText"/>
      </w:pPr>
      <w:r>
        <w:t xml:space="preserve">Q12: Which population is at highest risk for severe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Elderly (&gt;65 years) and immunocompromised patients.</w:t>
      </w:r>
    </w:p>
    <w:p>
      <w:pPr>
        <w:pStyle w:val="BodyText"/>
      </w:pPr>
      <w:r>
        <w:t xml:space="preserve">Q13: Can children get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Yes, but colonization is very high in infants (&lt;1 year), so testing is rarely indicated in that age group.</w:t>
      </w:r>
    </w:p>
    <w:p>
      <w:pPr>
        <w:pStyle w:val="BodyText"/>
      </w:pPr>
      <w:r>
        <w:t xml:space="preserve">Q14: What is the significance of</w:t>
      </w:r>
      <w:r>
        <w:t xml:space="preserve"> </w:t>
      </w:r>
      <w:r>
        <w:t xml:space="preserve">“sick contacts”</w:t>
      </w:r>
      <w:r>
        <w:t xml:space="preserve"> </w:t>
      </w:r>
      <w:r>
        <w:t xml:space="preserve">in diarrhea?</w:t>
      </w:r>
      <w:r>
        <w:t xml:space="preserve"> </w:t>
      </w:r>
      <w:r>
        <w:t xml:space="preserve">A: Suggests viral (Norovirus) or bacterial (Salmonella/Shigella) outbreaks.</w:t>
      </w:r>
    </w:p>
    <w:p>
      <w:pPr>
        <w:pStyle w:val="BodyText"/>
      </w:pPr>
      <w:r>
        <w:t xml:space="preserve">Q15: How long after antibiotic use can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occur?</w:t>
      </w:r>
      <w:r>
        <w:t xml:space="preserve"> </w:t>
      </w:r>
      <w:r>
        <w:t xml:space="preserve">A: Up to 8-12 weeks after the last dose.</w:t>
      </w:r>
    </w:p>
    <w:bookmarkEnd w:id="15"/>
    <w:bookmarkStart w:id="16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t xml:space="preserve">Q16: What does the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PCR (NAAT) detect?</w:t>
      </w:r>
      <w:r>
        <w:t xml:space="preserve"> </w:t>
      </w:r>
      <w:r>
        <w:t xml:space="preserve">A: The presence of the gene for toxin production (detects the organism).</w:t>
      </w:r>
    </w:p>
    <w:p>
      <w:pPr>
        <w:pStyle w:val="BodyText"/>
      </w:pPr>
      <w:r>
        <w:t xml:space="preserve">Q17: What does the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Toxin EIA detect?</w:t>
      </w:r>
      <w:r>
        <w:t xml:space="preserve"> </w:t>
      </w:r>
      <w:r>
        <w:t xml:space="preserve">A: The actual toxin protein (detects active toxin production).</w:t>
      </w:r>
    </w:p>
    <w:p>
      <w:pPr>
        <w:pStyle w:val="BodyText"/>
      </w:pPr>
      <w:r>
        <w:t xml:space="preserve">Q18: What is the main drawback of PCR testing?</w:t>
      </w:r>
      <w:r>
        <w:t xml:space="preserve"> </w:t>
      </w:r>
      <w:r>
        <w:t xml:space="preserve">A: It cannot distinguish between colonization and active infection (low specificity).</w:t>
      </w:r>
    </w:p>
    <w:p>
      <w:pPr>
        <w:pStyle w:val="BodyText"/>
      </w:pPr>
      <w:r>
        <w:t xml:space="preserve">Q19: What is the</w:t>
      </w:r>
      <w:r>
        <w:t xml:space="preserve"> </w:t>
      </w:r>
      <w:r>
        <w:t xml:space="preserve">“Two-Step”</w:t>
      </w:r>
      <w:r>
        <w:t xml:space="preserve"> </w:t>
      </w:r>
      <w:r>
        <w:t xml:space="preserve">testing algorithm?</w:t>
      </w:r>
      <w:r>
        <w:t xml:space="preserve"> </w:t>
      </w:r>
      <w:r>
        <w:t xml:space="preserve">A: Screening with a highly sensitive test (GDH or PCR) followed by a highly specific test (Toxin EIA) for those who are screen-positive.</w:t>
      </w:r>
    </w:p>
    <w:p>
      <w:pPr>
        <w:pStyle w:val="BodyText"/>
      </w:pPr>
      <w:r>
        <w:t xml:space="preserve">Q20: What is GDH?</w:t>
      </w:r>
      <w:r>
        <w:t xml:space="preserve"> </w:t>
      </w:r>
      <w:r>
        <w:t xml:space="preserve">A: Glutamate Dehydrogenase; a common enzyme produced by all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strains (screening marker).</w:t>
      </w:r>
    </w:p>
    <w:p>
      <w:pPr>
        <w:pStyle w:val="BodyText"/>
      </w:pPr>
      <w:r>
        <w:t xml:space="preserve">Q21: If PCR is (+) but Toxin EIA is (-), what is the interpretation?</w:t>
      </w:r>
      <w:r>
        <w:t xml:space="preserve"> </w:t>
      </w:r>
      <w:r>
        <w:t xml:space="preserve">A: Likely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colonization or very early infection; clinical judgment is required for treatment.</w:t>
      </w:r>
    </w:p>
    <w:p>
      <w:pPr>
        <w:pStyle w:val="DefinitionTerm"/>
      </w:pPr>
      <w:r>
        <w:t xml:space="preserve">Q22: Should you perform a</w:t>
      </w:r>
      <w:r>
        <w:t xml:space="preserve"> </w:t>
      </w:r>
      <w:r>
        <w:t xml:space="preserve">“test of cure”</w:t>
      </w:r>
      <w:r>
        <w:t xml:space="preserve"> </w:t>
      </w:r>
      <w:r>
        <w:t xml:space="preserve">after treatment?</w:t>
      </w:r>
    </w:p>
    <w:p>
      <w:pPr>
        <w:pStyle w:val="Definition"/>
      </w:pPr>
      <w:r>
        <w:t xml:space="preserve">No, PCR can remain positive for weeks/months after successful treatment.</w:t>
      </w:r>
    </w:p>
    <w:p>
      <w:pPr>
        <w:pStyle w:val="FirstParagraph"/>
      </w:pPr>
      <w:r>
        <w:t xml:space="preserve">Q23: What is the</w:t>
      </w:r>
      <w:r>
        <w:t xml:space="preserve"> </w:t>
      </w:r>
      <w:r>
        <w:t xml:space="preserve">“Biofire”</w:t>
      </w:r>
      <w:r>
        <w:t xml:space="preserve"> </w:t>
      </w:r>
      <w:r>
        <w:t xml:space="preserve">or GI Pathogen Panel?</w:t>
      </w:r>
      <w:r>
        <w:t xml:space="preserve"> </w:t>
      </w:r>
      <w:r>
        <w:t xml:space="preserve">A: A multiplex PCR that tests for multiple bacteria, viruses, and parasites simultaneously.</w:t>
      </w:r>
    </w:p>
    <w:p>
      <w:pPr>
        <w:pStyle w:val="BodyText"/>
      </w:pPr>
      <w:r>
        <w:t xml:space="preserve">24: When should you order a stool culture for pathogens?</w:t>
      </w:r>
      <w:r>
        <w:t xml:space="preserve"> </w:t>
      </w:r>
      <w:r>
        <w:t xml:space="preserve">A: In cases of inflammatory diarrhea (bloody), severe illness, or high-risk travel.</w:t>
      </w:r>
    </w:p>
    <w:p>
      <w:pPr>
        <w:pStyle w:val="BodyText"/>
      </w:pPr>
      <w:r>
        <w:t xml:space="preserve">Q25: What is the G6PD check’s relevance in diarrhea?</w:t>
      </w:r>
      <w:r>
        <w:t xml:space="preserve"> </w:t>
      </w:r>
      <w:r>
        <w:t xml:space="preserve">A: Only relevant if using certain drugs like Primaquine (for malaria) or Sulfonamides; not relevant for standard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meds.</w:t>
      </w:r>
    </w:p>
    <w:p>
      <w:pPr>
        <w:pStyle w:val="BodyText"/>
      </w:pPr>
      <w:r>
        <w:t xml:space="preserve">Q26: What is the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diagnosis (rarely used clinically)?</w:t>
      </w:r>
      <w:r>
        <w:t xml:space="preserve"> </w:t>
      </w:r>
      <w:r>
        <w:t xml:space="preserve">A: Cell cytotoxicity neutralization assay or toxigenic culture.</w:t>
      </w:r>
    </w:p>
    <w:p>
      <w:pPr>
        <w:pStyle w:val="BodyText"/>
      </w:pPr>
      <w:r>
        <w:t xml:space="preserve">Q27: Can imaging (CT abdomen) help diagnose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Yes, it may show colonic wall thickening (</w:t>
      </w:r>
      <w:r>
        <w:t xml:space="preserve">“accordion sign”</w:t>
      </w:r>
      <w:r>
        <w:t xml:space="preserve">) or fat stranding.</w:t>
      </w:r>
    </w:p>
    <w:p>
      <w:pPr>
        <w:pStyle w:val="BodyText"/>
      </w:pPr>
      <w:r>
        <w:t xml:space="preserve">Q28: Is a stool pH test useful?</w:t>
      </w:r>
      <w:r>
        <w:t xml:space="preserve"> </w:t>
      </w:r>
      <w:r>
        <w:t xml:space="preserve">A: No.</w:t>
      </w:r>
    </w:p>
    <w:p>
      <w:pPr>
        <w:pStyle w:val="BodyText"/>
      </w:pPr>
      <w:r>
        <w:t xml:space="preserve">Q29: What is the role of fecal calprotectin?</w:t>
      </w:r>
      <w:r>
        <w:t xml:space="preserve"> </w:t>
      </w:r>
      <w:r>
        <w:t xml:space="preserve">A: Indicates intestinal inflammation; useful for IBD but non-specific for infections.</w:t>
      </w:r>
    </w:p>
    <w:p>
      <w:pPr>
        <w:pStyle w:val="BodyText"/>
      </w:pPr>
      <w:r>
        <w:t xml:space="preserve">Q30: Can Norovirus be diagnosed in the ED?</w:t>
      </w:r>
      <w:r>
        <w:t xml:space="preserve"> </w:t>
      </w:r>
      <w:r>
        <w:t xml:space="preserve">A: Yes, via PCR/multiplex panels.</w:t>
      </w:r>
    </w:p>
    <w:p>
      <w:pPr>
        <w:pStyle w:val="BodyText"/>
      </w:pPr>
      <w:r>
        <w:t xml:space="preserve">Q31: What is the characteristic of</w:t>
      </w:r>
      <w:r>
        <w:t xml:space="preserve"> </w:t>
      </w:r>
      <w:r>
        <w:t xml:space="preserve">“Rice Water Stool”</w:t>
      </w:r>
      <w:r>
        <w:t xml:space="preserve">?</w:t>
      </w:r>
      <w:r>
        <w:t xml:space="preserve"> </w:t>
      </w:r>
      <w:r>
        <w:t xml:space="preserve">A: Cholera (</w:t>
      </w:r>
      <w:r>
        <w:rPr>
          <w:i/>
          <w:iCs/>
        </w:rPr>
        <w:t xml:space="preserve">Vibrio cholerae</w:t>
      </w:r>
      <w:r>
        <w:t xml:space="preserve">).</w:t>
      </w:r>
    </w:p>
    <w:p>
      <w:pPr>
        <w:pStyle w:val="BodyText"/>
      </w:pPr>
      <w:r>
        <w:t xml:space="preserve">Q32: Diarrhea after eating undercooked hamburger?</w:t>
      </w:r>
      <w:r>
        <w:t xml:space="preserve"> </w:t>
      </w:r>
      <w:r>
        <w:t xml:space="preserve">A: STEC (</w:t>
      </w:r>
      <w:r>
        <w:rPr>
          <w:i/>
          <w:iCs/>
        </w:rPr>
        <w:t xml:space="preserve">E. coli</w:t>
      </w:r>
      <w:r>
        <w:t xml:space="preserve"> </w:t>
      </w:r>
      <w:r>
        <w:t xml:space="preserve">O157:H7).</w:t>
      </w:r>
    </w:p>
    <w:p>
      <w:pPr>
        <w:pStyle w:val="BodyText"/>
      </w:pPr>
      <w:r>
        <w:t xml:space="preserve">Q33: Diarrhea after eating raw seafood?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Vibrio parahaemolyticus</w:t>
      </w:r>
      <w:r>
        <w:t xml:space="preserve">.</w:t>
      </w:r>
    </w:p>
    <w:p>
      <w:pPr>
        <w:pStyle w:val="BodyText"/>
      </w:pPr>
      <w:r>
        <w:t xml:space="preserve">Q34: Diarrhea after camping/drinking stream water?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Giardia lamblia</w:t>
      </w:r>
      <w:r>
        <w:t xml:space="preserve">.</w:t>
      </w:r>
    </w:p>
    <w:p>
      <w:pPr>
        <w:pStyle w:val="BodyText"/>
      </w:pPr>
      <w:r>
        <w:t xml:space="preserve">Q35: Can you diagnose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by colonoscopy?</w:t>
      </w:r>
      <w:r>
        <w:t xml:space="preserve"> </w:t>
      </w:r>
      <w:r>
        <w:t xml:space="preserve">A: Yes, by visualizing</w:t>
      </w:r>
      <w:r>
        <w:t xml:space="preserve"> </w:t>
      </w:r>
      <w:r>
        <w:t xml:space="preserve">“pseudomembranes”</w:t>
      </w:r>
      <w:r>
        <w:t xml:space="preserve"> </w:t>
      </w:r>
      <w:r>
        <w:t xml:space="preserve">(yellowish-white plaques on the mucosa).</w:t>
      </w:r>
    </w:p>
    <w:bookmarkEnd w:id="16"/>
    <w:bookmarkStart w:id="17" w:name="Xcf3b162193942f96f2754f4056c6872b561b560"/>
    <w:p>
      <w:pPr>
        <w:pStyle w:val="Heading3"/>
      </w:pPr>
      <w:r>
        <w:t xml:space="preserve">Q36-Q55: C. difficile Management (IDSA 2021/2024 Updates)</w:t>
      </w:r>
    </w:p>
    <w:p>
      <w:pPr>
        <w:pStyle w:val="FirstParagraph"/>
      </w:pPr>
      <w:r>
        <w:t xml:space="preserve">Q36: What is the preferred first-line treatment for the</w:t>
      </w:r>
      <w:r>
        <w:t xml:space="preserve"> </w:t>
      </w:r>
      <w:r>
        <w:rPr>
          <w:b/>
          <w:bCs/>
        </w:rPr>
        <w:t xml:space="preserve">first episode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(Non-severe or Severe)?</w:t>
      </w:r>
      <w:r>
        <w:t xml:space="preserve"> </w:t>
      </w:r>
      <w:r>
        <w:t xml:space="preserve">A: Fidaxomicin (200 mg BID for 10 days).</w:t>
      </w:r>
    </w:p>
    <w:p>
      <w:pPr>
        <w:pStyle w:val="BodyText"/>
      </w:pPr>
      <w:r>
        <w:t xml:space="preserve">Q37: What is the alternative first-line if Fidaxomicin is unavailable?</w:t>
      </w:r>
      <w:r>
        <w:t xml:space="preserve"> </w:t>
      </w:r>
      <w:r>
        <w:t xml:space="preserve">A: Oral Vancomycin (125 mg QID for 10 days).</w:t>
      </w:r>
    </w:p>
    <w:p>
      <w:pPr>
        <w:pStyle w:val="BodyText"/>
      </w:pPr>
      <w:r>
        <w:t xml:space="preserve">Q38: Why is Fidaxomicin now preferred over Vancomycin?</w:t>
      </w:r>
      <w:r>
        <w:t xml:space="preserve"> </w:t>
      </w:r>
      <w:r>
        <w:t xml:space="preserve">A: Lower rates of recurrence.</w:t>
      </w:r>
    </w:p>
    <w:p>
      <w:pPr>
        <w:pStyle w:val="BodyText"/>
      </w:pPr>
      <w:r>
        <w:t xml:space="preserve">Q39: What is the role of Metronidazole in the 2021/2024 guidelines?</w:t>
      </w:r>
      <w:r>
        <w:t xml:space="preserve"> </w:t>
      </w:r>
      <w:r>
        <w:t xml:space="preserve">A: Only used for non-severe cases if Vancomycin or Fidaxomicin are unavailable.</w:t>
      </w:r>
    </w:p>
    <w:p>
      <w:pPr>
        <w:pStyle w:val="BodyText"/>
      </w:pPr>
      <w:r>
        <w:t xml:space="preserve">Q40: What is the dose of Metronidazole for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500 mg PO TID for 10 days.</w:t>
      </w:r>
    </w:p>
    <w:p>
      <w:pPr>
        <w:pStyle w:val="BodyText"/>
      </w:pPr>
      <w:r>
        <w:t xml:space="preserve">Q41: How do you treat the</w:t>
      </w:r>
      <w:r>
        <w:t xml:space="preserve"> </w:t>
      </w:r>
      <w:r>
        <w:rPr>
          <w:b/>
          <w:bCs/>
        </w:rPr>
        <w:t xml:space="preserve">first recurrence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if Vancomycin was used initially?</w:t>
      </w:r>
      <w:r>
        <w:t xml:space="preserve"> </w:t>
      </w:r>
      <w:r>
        <w:t xml:space="preserve">A: Fidaxomicin (standard or pulsed/tapered) OR Vancomycin pulsed/tapered.</w:t>
      </w:r>
    </w:p>
    <w:p>
      <w:pPr>
        <w:pStyle w:val="BodyText"/>
      </w:pPr>
      <w:r>
        <w:t xml:space="preserve">Q42: How do you treat the</w:t>
      </w:r>
      <w:r>
        <w:t xml:space="preserve"> </w:t>
      </w:r>
      <w:r>
        <w:rPr>
          <w:b/>
          <w:bCs/>
        </w:rPr>
        <w:t xml:space="preserve">first recurrence</w:t>
      </w:r>
      <w:r>
        <w:t xml:space="preserve"> </w:t>
      </w:r>
      <w:r>
        <w:t xml:space="preserve">if Fidaxomicin was used initially?</w:t>
      </w:r>
      <w:r>
        <w:t xml:space="preserve"> </w:t>
      </w:r>
      <w:r>
        <w:t xml:space="preserve">A: Vancomycin pulsed/tapered.</w:t>
      </w:r>
    </w:p>
    <w:p>
      <w:pPr>
        <w:pStyle w:val="BodyText"/>
      </w:pPr>
      <w:r>
        <w:t xml:space="preserve">Q43: What is</w:t>
      </w:r>
      <w:r>
        <w:t xml:space="preserve"> </w:t>
      </w:r>
      <w:r>
        <w:t xml:space="preserve">“Vancomycin pulsed/tapered”</w:t>
      </w:r>
      <w:r>
        <w:t xml:space="preserve"> </w:t>
      </w:r>
      <w:r>
        <w:t xml:space="preserve">dosing?</w:t>
      </w:r>
      <w:r>
        <w:t xml:space="preserve"> </w:t>
      </w:r>
      <w:r>
        <w:t xml:space="preserve">A: 125 mg QID for 10-14 days, then BID for a week, then QD for a week, then every 2-3 days for 2-8 weeks.</w:t>
      </w:r>
    </w:p>
    <w:p>
      <w:pPr>
        <w:pStyle w:val="BodyText"/>
      </w:pPr>
      <w:r>
        <w:t xml:space="preserve">Q44: What is Bezlotoxumab?</w:t>
      </w:r>
      <w:r>
        <w:t xml:space="preserve"> </w:t>
      </w:r>
      <w:r>
        <w:t xml:space="preserve">A: A human monoclonal antibody against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Toxin B, given as a single IV infusion to prevent recurrence in high-risk patients.</w:t>
      </w:r>
    </w:p>
    <w:p>
      <w:pPr>
        <w:pStyle w:val="BodyText"/>
      </w:pPr>
      <w:r>
        <w:t xml:space="preserve">Q45: When should Bezlotoxumab be considered?</w:t>
      </w:r>
      <w:r>
        <w:t xml:space="preserve"> </w:t>
      </w:r>
      <w:r>
        <w:t xml:space="preserve">A: During the treatment of an episode (initial or recurrence) in patients at high risk for recurrence (e.g., age &gt;65, immunocompromised).</w:t>
      </w:r>
    </w:p>
    <w:p>
      <w:pPr>
        <w:pStyle w:val="BodyText"/>
      </w:pPr>
      <w:r>
        <w:t xml:space="preserve">Q46: Is Bezlotoxumab an antibiotic?</w:t>
      </w:r>
      <w:r>
        <w:t xml:space="preserve"> </w:t>
      </w:r>
      <w:r>
        <w:t xml:space="preserve">A: No, it must be given alongside standard antibiotic therapy (Vancomycin or Fidaxomicin).</w:t>
      </w:r>
    </w:p>
    <w:p>
      <w:pPr>
        <w:pStyle w:val="BodyText"/>
      </w:pPr>
      <w:r>
        <w:t xml:space="preserve">Q47: What is the risk of using Bezlotoxumab in patients with Congestive Heart Failure?</w:t>
      </w:r>
      <w:r>
        <w:t xml:space="preserve"> </w:t>
      </w:r>
      <w:r>
        <w:t xml:space="preserve">A: It should be used with caution as it has been associated with heart failure exacerbations.</w:t>
      </w:r>
    </w:p>
    <w:p>
      <w:pPr>
        <w:pStyle w:val="BodyText"/>
      </w:pPr>
      <w:r>
        <w:t xml:space="preserve">Q48: Can you use IV Vancomycin to treat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No, IV Vancomycin does not reach therapeutic levels in the gut lumen.</w:t>
      </w:r>
    </w:p>
    <w:p>
      <w:pPr>
        <w:pStyle w:val="BodyText"/>
      </w:pPr>
      <w:r>
        <w:t xml:space="preserve">Q49: How is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managed in a patient who cannot take PO?</w:t>
      </w:r>
      <w:r>
        <w:t xml:space="preserve"> </w:t>
      </w:r>
      <w:r>
        <w:t xml:space="preserve">A: Vancomycin via nasogastric tube and/or rectal vancomycin enemas.</w:t>
      </w:r>
    </w:p>
    <w:p>
      <w:pPr>
        <w:pStyle w:val="BodyText"/>
      </w:pPr>
      <w:r>
        <w:t xml:space="preserve">Q50: Should you stop the inciting antibiotic if possible?</w:t>
      </w:r>
      <w:r>
        <w:t xml:space="preserve"> </w:t>
      </w:r>
      <w:r>
        <w:t xml:space="preserve">A: Yes, as soon as feasible.</w:t>
      </w:r>
    </w:p>
    <w:p>
      <w:pPr>
        <w:pStyle w:val="BodyText"/>
      </w:pPr>
      <w:r>
        <w:t xml:space="preserve">Q51: Are anti-motility agents (e.g., Loperamide) recommended in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No, they may increase the risk of toxic megacolon by preventing toxin clearance.</w:t>
      </w:r>
    </w:p>
    <w:p>
      <w:pPr>
        <w:pStyle w:val="BodyText"/>
      </w:pPr>
      <w:r>
        <w:t xml:space="preserve">Q52: Is there a role for probiotics in treating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Current IDSA/ACG guidelines do not recommend probiotics for treatment or prevention due to insufficient evidence.</w:t>
      </w:r>
    </w:p>
    <w:p>
      <w:pPr>
        <w:pStyle w:val="BodyText"/>
      </w:pPr>
      <w:r>
        <w:t xml:space="preserve">Q53: What is the mechanism of action of Fidaxomicin?</w:t>
      </w:r>
      <w:r>
        <w:t xml:space="preserve"> </w:t>
      </w:r>
      <w:r>
        <w:t xml:space="preserve">A: Macrocyclic antibiotic that inhibits RNA polymerase.</w:t>
      </w:r>
    </w:p>
    <w:p>
      <w:pPr>
        <w:pStyle w:val="BodyText"/>
      </w:pPr>
      <w:r>
        <w:t xml:space="preserve">Q54: What is the mechanism of action of Vancomycin?</w:t>
      </w:r>
      <w:r>
        <w:t xml:space="preserve"> </w:t>
      </w:r>
      <w:r>
        <w:t xml:space="preserve">A: Glycopeptide that inhibits cell wall synthesis.</w:t>
      </w:r>
    </w:p>
    <w:p>
      <w:pPr>
        <w:pStyle w:val="BodyText"/>
      </w:pPr>
      <w:r>
        <w:t xml:space="preserve">Q55: Does Fidaxomicin affect the normal gut flora more or less than Vancomycin?</w:t>
      </w:r>
      <w:r>
        <w:t xml:space="preserve"> </w:t>
      </w:r>
      <w:r>
        <w:t xml:space="preserve">A: Less; it is a narrower-spectrum agent, which is why it has lower recurrence rates.</w:t>
      </w:r>
    </w:p>
    <w:bookmarkEnd w:id="17"/>
    <w:bookmarkStart w:id="18" w:name="q56-q75-severe-vs.-fulminant-c.-diff"/>
    <w:p>
      <w:pPr>
        <w:pStyle w:val="Heading3"/>
      </w:pPr>
      <w:r>
        <w:t xml:space="preserve">Q56-Q75: Severe vs. Fulminant C. diff</w:t>
      </w:r>
    </w:p>
    <w:p>
      <w:pPr>
        <w:pStyle w:val="FirstParagraph"/>
      </w:pPr>
      <w:r>
        <w:t xml:space="preserve">Q56: Define</w:t>
      </w:r>
      <w:r>
        <w:t xml:space="preserve"> </w:t>
      </w:r>
      <w:r>
        <w:rPr>
          <w:b/>
          <w:bCs/>
        </w:rPr>
        <w:t xml:space="preserve">Severe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(IDSA criteria).</w:t>
      </w:r>
      <w:r>
        <w:t xml:space="preserve"> </w:t>
      </w:r>
      <w:r>
        <w:t xml:space="preserve">A: WBC ≥15,000 cells/µL OR Serum Creatinine &gt;1.5 mg/dL.</w:t>
      </w:r>
    </w:p>
    <w:p>
      <w:pPr>
        <w:pStyle w:val="BodyText"/>
      </w:pPr>
      <w:r>
        <w:t xml:space="preserve">Q57: Define</w:t>
      </w:r>
      <w:r>
        <w:t xml:space="preserve"> </w:t>
      </w:r>
      <w:r>
        <w:rPr>
          <w:b/>
          <w:bCs/>
        </w:rPr>
        <w:t xml:space="preserve">Fulminant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(formerly</w:t>
      </w:r>
      <w:r>
        <w:t xml:space="preserve"> </w:t>
      </w:r>
      <w:r>
        <w:t xml:space="preserve">“Severe Complicated”</w:t>
      </w:r>
      <w:r>
        <w:t xml:space="preserve">).</w:t>
      </w:r>
      <w:r>
        <w:t xml:space="preserve"> </w:t>
      </w:r>
      <w:r>
        <w:t xml:space="preserve">A: Hypotension/shock, ileus, or megacolon.</w:t>
      </w:r>
    </w:p>
    <w:p>
      <w:pPr>
        <w:pStyle w:val="BodyText"/>
      </w:pPr>
      <w:r>
        <w:t xml:space="preserve">Q58: What is the preferred treatment for</w:t>
      </w:r>
      <w:r>
        <w:t xml:space="preserve"> </w:t>
      </w:r>
      <w:r>
        <w:rPr>
          <w:b/>
          <w:bCs/>
        </w:rPr>
        <w:t xml:space="preserve">Fulminant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High-dose Oral Vancomycin (500 mg QID) + IV Metronidazole (500 mg q8h).</w:t>
      </w:r>
    </w:p>
    <w:p>
      <w:pPr>
        <w:pStyle w:val="BodyText"/>
      </w:pPr>
      <w:r>
        <w:t xml:space="preserve">Q59: Why is IV Metronidazole added in fulminant cases?</w:t>
      </w:r>
      <w:r>
        <w:t xml:space="preserve"> </w:t>
      </w:r>
      <w:r>
        <w:t xml:space="preserve">A: It can reach the gut via biliary secretion and may be effective if ileus prevents oral vancomycin from reaching the colon.</w:t>
      </w:r>
    </w:p>
    <w:p>
      <w:pPr>
        <w:pStyle w:val="BodyText"/>
      </w:pPr>
      <w:r>
        <w:t xml:space="preserve">Q60: What is the role of Rectal Vancomycin in fulminant disease?</w:t>
      </w:r>
      <w:r>
        <w:t xml:space="preserve"> </w:t>
      </w:r>
      <w:r>
        <w:t xml:space="preserve">A: 500 mg in 100 mL saline every 6 hours as a retention enema (especially if ileus is present).</w:t>
      </w:r>
    </w:p>
    <w:p>
      <w:pPr>
        <w:pStyle w:val="BodyText"/>
      </w:pPr>
      <w:r>
        <w:t xml:space="preserve">Q61: What is the surgical procedure of choice for refractory fulminant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Subtotal colectomy with end ileostomy (or diverting loop ileostomy with colonic lavage).</w:t>
      </w:r>
    </w:p>
    <w:p>
      <w:pPr>
        <w:pStyle w:val="BodyText"/>
      </w:pPr>
      <w:r>
        <w:t xml:space="preserve">Q62: List three signs of</w:t>
      </w:r>
      <w:r>
        <w:t xml:space="preserve"> </w:t>
      </w:r>
      <w:r>
        <w:t xml:space="preserve">“Toxic Megacolon”</w:t>
      </w:r>
      <w:r>
        <w:t xml:space="preserve"> </w:t>
      </w:r>
      <w:r>
        <w:t xml:space="preserve">on imaging.</w:t>
      </w:r>
      <w:r>
        <w:t xml:space="preserve"> </w:t>
      </w:r>
      <w:r>
        <w:t xml:space="preserve">A: Colonic diameter &gt;6 cm, loss of haustral markings, and air-fluid levels.</w:t>
      </w:r>
    </w:p>
    <w:p>
      <w:pPr>
        <w:pStyle w:val="BodyText"/>
      </w:pPr>
      <w:r>
        <w:t xml:space="preserve">Q63: What level of serum lactate is associated with poor prognosis in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Lactate &gt;2.2 mmol/L.</w:t>
      </w:r>
    </w:p>
    <w:p>
      <w:pPr>
        <w:pStyle w:val="BodyText"/>
      </w:pPr>
      <w:r>
        <w:t xml:space="preserve">Q64: What is the significance of</w:t>
      </w:r>
      <w:r>
        <w:t xml:space="preserve"> </w:t>
      </w:r>
      <w:r>
        <w:t xml:space="preserve">“ileus”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It is a sign of fulminant disease and makes oral therapy difficult.</w:t>
      </w:r>
    </w:p>
    <w:p>
      <w:pPr>
        <w:pStyle w:val="BodyText"/>
      </w:pPr>
      <w:r>
        <w:t xml:space="preserve">Q65: Should you use Fidaxomicin for fulminant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Data is limited; standard practice remains high-dose Vancomycin + IV Metronidazole.</w:t>
      </w:r>
    </w:p>
    <w:p>
      <w:pPr>
        <w:pStyle w:val="BodyText"/>
      </w:pPr>
      <w:r>
        <w:t xml:space="preserve">Q66: What is the mortality rate for fulminant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requiring surgery?</w:t>
      </w:r>
      <w:r>
        <w:t xml:space="preserve"> </w:t>
      </w:r>
      <w:r>
        <w:t xml:space="preserve">A: High, ranging from 30% to 50%.</w:t>
      </w:r>
    </w:p>
    <w:p>
      <w:pPr>
        <w:pStyle w:val="BodyText"/>
      </w:pPr>
      <w:r>
        <w:t xml:space="preserve">Q67: How often should a patient with fulminant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be evaluated by surgery?</w:t>
      </w:r>
      <w:r>
        <w:t xml:space="preserve"> </w:t>
      </w:r>
      <w:r>
        <w:t xml:space="preserve">A: Daily or more if they are not improving.</w:t>
      </w:r>
    </w:p>
    <w:p>
      <w:pPr>
        <w:pStyle w:val="BodyText"/>
      </w:pPr>
      <w:r>
        <w:t xml:space="preserve">Q68: What is</w:t>
      </w:r>
      <w:r>
        <w:t xml:space="preserve"> </w:t>
      </w:r>
      <w:r>
        <w:t xml:space="preserve">“VOWS”</w:t>
      </w:r>
      <w:r>
        <w:t xml:space="preserve"> </w:t>
      </w:r>
      <w:r>
        <w:t xml:space="preserve">(Vancomycin, Oral, Water-Soluble)?</w:t>
      </w:r>
      <w:r>
        <w:t xml:space="preserve"> </w:t>
      </w:r>
      <w:r>
        <w:t xml:space="preserve">A: Refers to the use of oral vancomycin solution.</w:t>
      </w:r>
    </w:p>
    <w:p>
      <w:pPr>
        <w:pStyle w:val="BodyText"/>
      </w:pPr>
      <w:r>
        <w:t xml:space="preserve">Q69: Can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cause small bowel infection?</w:t>
      </w:r>
      <w:r>
        <w:t xml:space="preserve"> </w:t>
      </w:r>
      <w:r>
        <w:t xml:space="preserve">A: Rarely, usually in patients who have had a total colectomy.</w:t>
      </w:r>
    </w:p>
    <w:p>
      <w:pPr>
        <w:pStyle w:val="BodyText"/>
      </w:pPr>
      <w:r>
        <w:t xml:space="preserve">Q70: What is the most common electrolyte abnormality in severe diarrhea?</w:t>
      </w:r>
      <w:r>
        <w:t xml:space="preserve"> </w:t>
      </w:r>
      <w:r>
        <w:t xml:space="preserve">A: Hypokalemia and metabolic acidosis (due to loss of bicarbonate).</w:t>
      </w:r>
    </w:p>
    <w:p>
      <w:pPr>
        <w:pStyle w:val="BodyText"/>
      </w:pPr>
      <w:r>
        <w:t xml:space="preserve">Q71: How do you assess for dehydration in the elderly ED patient?</w:t>
      </w:r>
      <w:r>
        <w:t xml:space="preserve"> </w:t>
      </w:r>
      <w:r>
        <w:t xml:space="preserve">A: Mucous membranes, skin turgor (less reliable), orthostatics, and BUN/Cr ratio.</w:t>
      </w:r>
    </w:p>
    <w:p>
      <w:pPr>
        <w:pStyle w:val="BodyText"/>
      </w:pPr>
      <w:r>
        <w:t xml:space="preserve">Q72: Is a lactate of 4.5 in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an emergency?</w:t>
      </w:r>
      <w:r>
        <w:t xml:space="preserve"> </w:t>
      </w:r>
      <w:r>
        <w:t xml:space="preserve">A: Yes, suggests severe systemic toxicity or intestinal ischemia.</w:t>
      </w:r>
    </w:p>
    <w:p>
      <w:pPr>
        <w:pStyle w:val="BodyText"/>
      </w:pPr>
      <w:r>
        <w:t xml:space="preserve">Q73: Can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cause a leukemoid reaction?</w:t>
      </w:r>
      <w:r>
        <w:t xml:space="preserve"> </w:t>
      </w:r>
      <w:r>
        <w:t xml:space="preserve">A: Yes, WBC counts &gt;50,000/µL can be seen in severe cases.</w:t>
      </w:r>
    </w:p>
    <w:p>
      <w:pPr>
        <w:pStyle w:val="BodyText"/>
      </w:pPr>
      <w:r>
        <w:t xml:space="preserve">Q74: Is albumin a marker for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severity?</w:t>
      </w:r>
      <w:r>
        <w:t xml:space="preserve"> </w:t>
      </w:r>
      <w:r>
        <w:t xml:space="preserve">A: Yes, hypoalbuminemia (&lt;3 g/dL) is often associated with severe disease.</w:t>
      </w:r>
    </w:p>
    <w:p>
      <w:pPr>
        <w:pStyle w:val="BodyText"/>
      </w:pPr>
      <w:r>
        <w:t xml:space="preserve">Q75: Should you use a rectal tube in severe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Use with extreme caution due to the risk of perforation in a friable colon.</w:t>
      </w:r>
    </w:p>
    <w:bookmarkEnd w:id="18"/>
    <w:bookmarkStart w:id="19" w:name="q76-q90-travelers-diarrhea-sepsis"/>
    <w:p>
      <w:pPr>
        <w:pStyle w:val="Heading3"/>
      </w:pPr>
      <w:r>
        <w:t xml:space="preserve">Q76-Q90: Travelers’ Diarrhea &amp; Sepsis</w:t>
      </w:r>
    </w:p>
    <w:p>
      <w:pPr>
        <w:pStyle w:val="FirstParagraph"/>
      </w:pPr>
      <w:r>
        <w:t xml:space="preserve">Q76: What is the most common cause of Travelers’ Diarrhea?</w:t>
      </w:r>
      <w:r>
        <w:t xml:space="preserve"> </w:t>
      </w:r>
      <w:r>
        <w:t xml:space="preserve">A: Enterotoxigenic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(ETEC).</w:t>
      </w:r>
    </w:p>
    <w:p>
      <w:pPr>
        <w:pStyle w:val="BodyText"/>
      </w:pPr>
      <w:r>
        <w:t xml:space="preserve">Q77: What is the first-line antibiotic for</w:t>
      </w:r>
      <w:r>
        <w:t xml:space="preserve"> </w:t>
      </w:r>
      <w:r>
        <w:rPr>
          <w:b/>
          <w:bCs/>
        </w:rPr>
        <w:t xml:space="preserve">Severe</w:t>
      </w:r>
      <w:r>
        <w:t xml:space="preserve"> </w:t>
      </w:r>
      <w:r>
        <w:t xml:space="preserve">Travelers’ Diarrhea?</w:t>
      </w:r>
      <w:r>
        <w:t xml:space="preserve"> </w:t>
      </w:r>
      <w:r>
        <w:t xml:space="preserve">A: Azithromycin (500 mg daily for 3 days or a single 1000 mg dose).</w:t>
      </w:r>
    </w:p>
    <w:p>
      <w:pPr>
        <w:pStyle w:val="BodyText"/>
      </w:pPr>
      <w:r>
        <w:t xml:space="preserve">Q78: Why is Azithromycin preferred over Fluoroquinolones in many regions (e.g., Southeast Asia)?</w:t>
      </w:r>
      <w:r>
        <w:t xml:space="preserve"> </w:t>
      </w:r>
      <w:r>
        <w:t xml:space="preserve">A: High rates of Ciprofloxacin resistance in</w:t>
      </w:r>
      <w:r>
        <w:t xml:space="preserve"> </w:t>
      </w:r>
      <w:r>
        <w:rPr>
          <w:i/>
          <w:iCs/>
        </w:rPr>
        <w:t xml:space="preserve">Campylobacter</w:t>
      </w:r>
      <w:r>
        <w:t xml:space="preserve">.</w:t>
      </w:r>
    </w:p>
    <w:p>
      <w:pPr>
        <w:pStyle w:val="BodyText"/>
      </w:pPr>
      <w:r>
        <w:t xml:space="preserve">Q79: What is the role of Rifaximin in Travelers’ Diarrhea?</w:t>
      </w:r>
      <w:r>
        <w:t xml:space="preserve"> </w:t>
      </w:r>
      <w:r>
        <w:t xml:space="preserve">A: Used for non-invasive (non-bloody) diarrhea or for prophylaxis in high-risk travelers.</w:t>
      </w:r>
    </w:p>
    <w:p>
      <w:pPr>
        <w:pStyle w:val="BodyText"/>
      </w:pPr>
      <w:r>
        <w:t xml:space="preserve">Q80: Define</w:t>
      </w:r>
      <w:r>
        <w:t xml:space="preserve"> </w:t>
      </w:r>
      <w:r>
        <w:t xml:space="preserve">“Dysentery”</w:t>
      </w:r>
      <w:r>
        <w:t xml:space="preserve">.</w:t>
      </w:r>
      <w:r>
        <w:t xml:space="preserve"> </w:t>
      </w:r>
      <w:r>
        <w:t xml:space="preserve">A: Bloody diarrhea, often with fever and systemic toxicity.</w:t>
      </w:r>
    </w:p>
    <w:p>
      <w:pPr>
        <w:pStyle w:val="BodyText"/>
      </w:pPr>
      <w:r>
        <w:t xml:space="preserve">Q81: Which organism is classically associated with daycare outbreaks and bloody diarrhea?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Shigella</w:t>
      </w:r>
      <w:r>
        <w:t xml:space="preserve">.</w:t>
      </w:r>
    </w:p>
    <w:p>
      <w:pPr>
        <w:pStyle w:val="BodyText"/>
      </w:pPr>
      <w:r>
        <w:t xml:space="preserve">Q82: Why should antibiotics be avoided in suspected STEC (</w:t>
      </w:r>
      <w:r>
        <w:rPr>
          <w:i/>
          <w:iCs/>
        </w:rPr>
        <w:t xml:space="preserve">E. coli</w:t>
      </w:r>
      <w:r>
        <w:t xml:space="preserve"> </w:t>
      </w:r>
      <w:r>
        <w:t xml:space="preserve">O157:H7) in children?</w:t>
      </w:r>
      <w:r>
        <w:t xml:space="preserve"> </w:t>
      </w:r>
      <w:r>
        <w:t xml:space="preserve">A: They may increase the risk of Hemolytic Uremic Syndrome (HUS).</w:t>
      </w:r>
    </w:p>
    <w:p>
      <w:pPr>
        <w:pStyle w:val="BodyText"/>
      </w:pPr>
      <w:r>
        <w:t xml:space="preserve">Q83: What are the three components of HUS?</w:t>
      </w:r>
      <w:r>
        <w:t xml:space="preserve"> </w:t>
      </w:r>
      <w:r>
        <w:t xml:space="preserve">A: Microangiopathic hemolytic anemia, thrombocytopenia, and AKI.</w:t>
      </w:r>
    </w:p>
    <w:p>
      <w:pPr>
        <w:pStyle w:val="BodyText"/>
      </w:pPr>
      <w:r>
        <w:t xml:space="preserve">Q84: What is the first-line treatment for</w:t>
      </w:r>
      <w:r>
        <w:t xml:space="preserve"> </w:t>
      </w:r>
      <w:r>
        <w:rPr>
          <w:i/>
          <w:iCs/>
        </w:rPr>
        <w:t xml:space="preserve">Giardia</w:t>
      </w:r>
      <w:r>
        <w:t xml:space="preserve">?</w:t>
      </w:r>
      <w:r>
        <w:t xml:space="preserve"> </w:t>
      </w:r>
      <w:r>
        <w:t xml:space="preserve">A: Tinidazole or Nitazoxanide (Metronidazole is an alternative).</w:t>
      </w:r>
    </w:p>
    <w:p>
      <w:pPr>
        <w:pStyle w:val="BodyText"/>
      </w:pPr>
      <w:r>
        <w:t xml:space="preserve">Q85: What is the most important treatment for all diarrhea?</w:t>
      </w:r>
      <w:r>
        <w:t xml:space="preserve"> </w:t>
      </w:r>
      <w:r>
        <w:t xml:space="preserve">A: Rehydration (Oral Rehydration Salts/ORS preferred for mild/moderate; IV for severe).</w:t>
      </w:r>
    </w:p>
    <w:p>
      <w:pPr>
        <w:pStyle w:val="BodyText"/>
      </w:pPr>
      <w:r>
        <w:t xml:space="preserve">Q86: Does ORS need to contain glucose?</w:t>
      </w:r>
      <w:r>
        <w:t xml:space="preserve"> </w:t>
      </w:r>
      <w:r>
        <w:t xml:space="preserve">A: Yes, glucose is required for the co-transport of sodium across the intestinal epithelium.</w:t>
      </w:r>
    </w:p>
    <w:p>
      <w:pPr>
        <w:pStyle w:val="BodyText"/>
      </w:pPr>
      <w:r>
        <w:t xml:space="preserve">Q87: A traveler returning from Mexico has 3 days of watery diarrhea but is otherwise well. Treatment?</w:t>
      </w:r>
      <w:r>
        <w:t xml:space="preserve"> </w:t>
      </w:r>
      <w:r>
        <w:t xml:space="preserve">A: Hydration and possibly Loperamide; antibiotics usually not needed for mild cases.</w:t>
      </w:r>
    </w:p>
    <w:p>
      <w:pPr>
        <w:pStyle w:val="BodyText"/>
      </w:pPr>
      <w:r>
        <w:t xml:space="preserve">88: Fever, abdominal pain mimicking appendicitis, and diarrhea?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Yersinia enterocolitica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Campylobacter</w:t>
      </w:r>
      <w:r>
        <w:t xml:space="preserve">.</w:t>
      </w:r>
    </w:p>
    <w:p>
      <w:pPr>
        <w:pStyle w:val="BodyText"/>
      </w:pPr>
      <w:r>
        <w:t xml:space="preserve">Q89: What is the</w:t>
      </w:r>
      <w:r>
        <w:t xml:space="preserve"> </w:t>
      </w:r>
      <w:r>
        <w:t xml:space="preserve">“Danger”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Salmonella</w:t>
      </w:r>
      <w:r>
        <w:t xml:space="preserve"> </w:t>
      </w:r>
      <w:r>
        <w:t xml:space="preserve">bacteremia?</w:t>
      </w:r>
      <w:r>
        <w:t xml:space="preserve"> </w:t>
      </w:r>
      <w:r>
        <w:t xml:space="preserve">A: Mycotic aneurysms or osteomyelitis (especially in sickle cell patients).</w:t>
      </w:r>
    </w:p>
    <w:p>
      <w:pPr>
        <w:pStyle w:val="BodyText"/>
      </w:pPr>
      <w:r>
        <w:t xml:space="preserve">Q90: Should you treat</w:t>
      </w:r>
      <w:r>
        <w:t xml:space="preserve"> </w:t>
      </w:r>
      <w:r>
        <w:rPr>
          <w:i/>
          <w:iCs/>
        </w:rPr>
        <w:t xml:space="preserve">Salmonella</w:t>
      </w:r>
      <w:r>
        <w:t xml:space="preserve"> </w:t>
      </w:r>
      <w:r>
        <w:t xml:space="preserve">gastroenteritis with antibiotics?</w:t>
      </w:r>
      <w:r>
        <w:t xml:space="preserve"> </w:t>
      </w:r>
      <w:r>
        <w:t xml:space="preserve">A: Only in high-risk patients (elderly, infants, immunocompromised) to prevent invasive disease.</w:t>
      </w:r>
    </w:p>
    <w:bookmarkEnd w:id="19"/>
    <w:bookmarkStart w:id="20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is the indication for Fecal Microbiota Transplant (FMT)?</w:t>
      </w:r>
      <w:r>
        <w:t xml:space="preserve"> </w:t>
      </w:r>
      <w:r>
        <w:t xml:space="preserve">A: Second or subsequent recurrence of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(i.e., at least 3 episodes) after failed antibiotic therapy.</w:t>
      </w:r>
    </w:p>
    <w:p>
      <w:pPr>
        <w:pStyle w:val="BodyText"/>
      </w:pPr>
      <w:r>
        <w:t xml:space="preserve">Q92: How effective is FMT for recurrent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Very effective, with cure rates &gt;80-90%.</w:t>
      </w:r>
    </w:p>
    <w:p>
      <w:pPr>
        <w:pStyle w:val="BodyText"/>
      </w:pPr>
      <w:r>
        <w:t xml:space="preserve">Q93: What are the</w:t>
      </w:r>
      <w:r>
        <w:t xml:space="preserve"> </w:t>
      </w:r>
      <w:r>
        <w:t xml:space="preserve">“Contact Plus”</w:t>
      </w:r>
      <w:r>
        <w:t xml:space="preserve"> </w:t>
      </w:r>
      <w:r>
        <w:t xml:space="preserve">precautions for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Gloves and gown, plus washing hands with</w:t>
      </w:r>
      <w:r>
        <w:t xml:space="preserve"> </w:t>
      </w:r>
      <w:r>
        <w:rPr>
          <w:b/>
          <w:bCs/>
        </w:rPr>
        <w:t xml:space="preserve">soap and water</w:t>
      </w:r>
      <w:r>
        <w:t xml:space="preserve"> </w:t>
      </w:r>
      <w:r>
        <w:t xml:space="preserve">(alcohol-based rubs do not kill spores).</w:t>
      </w:r>
    </w:p>
    <w:p>
      <w:pPr>
        <w:pStyle w:val="BodyText"/>
      </w:pPr>
      <w:r>
        <w:t xml:space="preserve">Q94: What should be used to clean the room of a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patient?</w:t>
      </w:r>
      <w:r>
        <w:t xml:space="preserve"> </w:t>
      </w:r>
      <w:r>
        <w:t xml:space="preserve">A: Bleach-based (sporicidal) disinfectants.</w:t>
      </w:r>
    </w:p>
    <w:p>
      <w:pPr>
        <w:pStyle w:val="BodyText"/>
      </w:pPr>
      <w:r>
        <w:t xml:space="preserve">Q95: What is the risk of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recurrence after the first episode?</w:t>
      </w:r>
      <w:r>
        <w:t xml:space="preserve"> </w:t>
      </w:r>
      <w:r>
        <w:t xml:space="preserve">A: Approximately 20-25%.</w:t>
      </w:r>
    </w:p>
    <w:p>
      <w:pPr>
        <w:pStyle w:val="BodyText"/>
      </w:pPr>
      <w:r>
        <w:t xml:space="preserve">Q96: If a patient has a second recurrence, what is the risk of a third?</w:t>
      </w:r>
      <w:r>
        <w:t xml:space="preserve"> </w:t>
      </w:r>
      <w:r>
        <w:t xml:space="preserve">A: Up to 40-60%.</w:t>
      </w:r>
    </w:p>
    <w:p>
      <w:pPr>
        <w:pStyle w:val="BodyText"/>
      </w:pPr>
      <w:r>
        <w:t xml:space="preserve">Q97: Can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be prevented?</w:t>
      </w:r>
      <w:r>
        <w:t xml:space="preserve"> </w:t>
      </w:r>
      <w:r>
        <w:t xml:space="preserve">A: Primarily through antibiotic stewardship and rigorous infection control.</w:t>
      </w:r>
    </w:p>
    <w:p>
      <w:pPr>
        <w:pStyle w:val="BodyText"/>
      </w:pPr>
      <w:r>
        <w:t xml:space="preserve">Q98: Where should a patient with severe</w:t>
      </w:r>
      <w:r>
        <w:t xml:space="preserve"> </w:t>
      </w:r>
      <w:r>
        <w:rPr>
          <w:i/>
          <w:iCs/>
        </w:rPr>
        <w:t xml:space="preserve">C. diff</w:t>
      </w:r>
      <w:r>
        <w:t xml:space="preserve"> </w:t>
      </w:r>
      <w:r>
        <w:t xml:space="preserve">and AKI be managed?</w:t>
      </w:r>
      <w:r>
        <w:t xml:space="preserve"> </w:t>
      </w:r>
      <w:r>
        <w:t xml:space="preserve">A: Hospital admission (monitored bed or ICU if hemodynamics are unstable).</w:t>
      </w:r>
    </w:p>
    <w:p>
      <w:pPr>
        <w:pStyle w:val="BodyText"/>
      </w:pPr>
      <w:r>
        <w:t xml:space="preserve">Q99: What is the disposition for a young, healthy patient with mild community-acquired diarrhea?</w:t>
      </w:r>
      <w:r>
        <w:t xml:space="preserve"> </w:t>
      </w:r>
      <w:r>
        <w:t xml:space="preserve">A: Discharge with hydration instructions and</w:t>
      </w:r>
      <w:r>
        <w:t xml:space="preserve"> </w:t>
      </w:r>
      <w:r>
        <w:t xml:space="preserve">“red flag”</w:t>
      </w:r>
      <w:r>
        <w:t xml:space="preserve"> </w:t>
      </w:r>
      <w:r>
        <w:t xml:space="preserve">warnings.</w:t>
      </w:r>
    </w:p>
    <w:p>
      <w:pPr>
        <w:pStyle w:val="BodyText"/>
      </w:pPr>
      <w:r>
        <w:t xml:space="preserve">Q100: What is the most important follow-up for a patient discharged after</w:t>
      </w:r>
      <w:r>
        <w:t xml:space="preserve"> </w:t>
      </w:r>
      <w:r>
        <w:rPr>
          <w:i/>
          <w:iCs/>
        </w:rPr>
        <w:t xml:space="preserve">C. diff</w:t>
      </w:r>
      <w:r>
        <w:t xml:space="preserve">?</w:t>
      </w:r>
      <w:r>
        <w:t xml:space="preserve"> </w:t>
      </w:r>
      <w:r>
        <w:t xml:space="preserve">A: Monitor for recurrence and avoid unnecessary antibiotics in the future.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2026-04-02T22:04:53Z</dcterms:created>
  <dcterms:modified xsi:type="dcterms:W3CDTF">2026-04-02T22:04:53Z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