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9e1aa85b6f1a5880b4a03ea93de1f0cb3d4050"/>
    <w:p>
      <w:pPr>
        <w:pStyle w:val="Heading1"/>
      </w:pPr>
      <w:r>
        <w:t xml:space="preserve">Master Case: Acute Vision Loss and Eye Pain</w:t>
      </w:r>
    </w:p>
    <w:p>
      <w:pPr>
        <w:pStyle w:val="FirstParagraph"/>
      </w:pPr>
      <w:r>
        <w:rPr>
          <w:b/>
          <w:bCs/>
        </w:rPr>
        <w:t xml:space="preserve">Clinical Narrative: The Blurred Horizon</w:t>
      </w:r>
    </w:p>
    <w:p>
      <w:pPr>
        <w:pStyle w:val="BodyText"/>
      </w:pPr>
      <w:r>
        <w:rPr>
          <w:b/>
          <w:bCs/>
        </w:rPr>
        <w:t xml:space="preserve">Triage (08:00):</w:t>
      </w:r>
      <w:r>
        <w:t xml:space="preserve"> </w:t>
      </w:r>
      <w:r>
        <w:t xml:space="preserve">A 28-year-old female presents to the Emergency Department with a 48-hour history of progressive vision loss in her left eye. She describes the vision as</w:t>
      </w:r>
      <w:r>
        <w:t xml:space="preserve"> </w:t>
      </w:r>
      <w:r>
        <w:t xml:space="preserve">“looking through a dirty window”</w:t>
      </w:r>
      <w:r>
        <w:t xml:space="preserve"> </w:t>
      </w:r>
      <w:r>
        <w:t xml:space="preserve">and reports a dull, aching pain behind the eye that worsens significantly with eye movement.</w:t>
      </w:r>
    </w:p>
    <w:p>
      <w:pPr>
        <w:pStyle w:val="BodyText"/>
      </w:pPr>
      <w:r>
        <w:rPr>
          <w:b/>
          <w:bCs/>
        </w:rPr>
        <w:t xml:space="preserve">Initial Assessment (08:15):</w:t>
      </w:r>
      <w:r>
        <w:t xml:space="preserve"> </w:t>
      </w:r>
      <w:r>
        <w:t xml:space="preserve">On examination, her visual acuity is 20/200 in the left eye and 20/20 in the right. She has profound impairment of color vision (dyschromatopsia) in the left eye, perceiving a bright red bottle cap as</w:t>
      </w:r>
      <w:r>
        <w:t xml:space="preserve"> </w:t>
      </w:r>
      <w:r>
        <w:t xml:space="preserve">“brownish-grey.”</w:t>
      </w:r>
      <w:r>
        <w:t xml:space="preserve"> </w:t>
      </w:r>
      <w:r>
        <w:t xml:space="preserve">A Relative Afferent Pupillary Defect (RAPD) is noted on the left. Fundoscopy reveals a normal optic disc with no evidence of edema or hemorrhage.</w:t>
      </w:r>
    </w:p>
    <w:p>
      <w:pPr>
        <w:pStyle w:val="BodyText"/>
      </w:pPr>
      <w:r>
        <w:rPr>
          <w:b/>
          <w:bCs/>
        </w:rPr>
        <w:t xml:space="preserve">Diagnostic Phase (10:00):</w:t>
      </w:r>
      <w:r>
        <w:t xml:space="preserve"> </w:t>
      </w:r>
      <w:r>
        <w:t xml:space="preserve">Neurology is consulted. An urgent MRI of the Brain and Orbits with gadolinium is ordered. The MRI shows a hyperintense, enhancing lesion in the intraorbital segment of the left optic nerve on T2/FLAIR sequences. No periventricular or juxtacortical white matter lesions are seen. A Lumbar Puncture is performed; opening pressure is 15 cm H2O. CSF analysis shows 5 WBCs (mononuclear) and 2 oligoclonal bands (OCBs) not present in the serum.</w:t>
      </w:r>
    </w:p>
    <w:p>
      <w:pPr>
        <w:pStyle w:val="BodyText"/>
      </w:pPr>
      <w:r>
        <w:rPr>
          <w:b/>
          <w:bCs/>
        </w:rPr>
        <w:t xml:space="preserve">Management Phase (14:00):</w:t>
      </w:r>
      <w:r>
        <w:t xml:space="preserve"> </w:t>
      </w:r>
      <w:r>
        <w:t xml:space="preserve">The patient is diagnosed with Acute Optic Neuritis (ON). Based on the Optic Neuritis Treatment Trial (ONTT) guidelines, she is started on IV Methylprednisolone 1000mg daily for 3 days.</w:t>
      </w:r>
    </w:p>
    <w:p>
      <w:pPr>
        <w:pStyle w:val="BodyText"/>
      </w:pPr>
      <w:r>
        <w:rPr>
          <w:b/>
          <w:bCs/>
        </w:rPr>
        <w:t xml:space="preserve">Stabilization &amp; Disposition (Day 3):</w:t>
      </w:r>
      <w:r>
        <w:t xml:space="preserve"> </w:t>
      </w:r>
      <w:r>
        <w:t xml:space="preserve">Her vision begins to improve (20/40). She is transitioned to an oral prednisone taper. Neurology discusses the long-term risk of Multiple Sclerosis (MS), given the presence of CSF OCBs, and schedules a follow-up for potential initiation of disease-modifying therapy (DMT).</w:t>
      </w:r>
    </w:p>
    <w:p>
      <w:r>
        <w:pict>
          <v:rect style="width:0;height:1.5pt" o:hralign="center" o:hrstd="t" o:hr="t"/>
        </w:pict>
      </w:r>
    </w:p>
    <w:bookmarkStart w:id="15" w:name="rapid-fire-clinical-qa-1-100"/>
    <w:p>
      <w:pPr>
        <w:pStyle w:val="Heading2"/>
      </w:pPr>
      <w:r>
        <w:t xml:space="preserve">Rapid-Fire Clinical Q&amp;A (1-100)</w:t>
      </w:r>
    </w:p>
    <w:bookmarkStart w:id="9" w:name="Xced9edca1a7de2e8a0d3e2f42b435f6dd2ae838"/>
    <w:p>
      <w:pPr>
        <w:pStyle w:val="Heading3"/>
      </w:pPr>
      <w:r>
        <w:t xml:space="preserve">Q1-Q15: Triage &amp; Initial History (Optic Neuritis, RAPD, Pain)</w:t>
      </w:r>
    </w:p>
    <w:p>
      <w:pPr>
        <w:pStyle w:val="FirstParagraph"/>
      </w:pPr>
      <w:r>
        <w:t xml:space="preserve">Q1: What is the most common presenting symptom of optic neuritis (ON)?</w:t>
      </w:r>
      <w:r>
        <w:t xml:space="preserve"> </w:t>
      </w:r>
      <w:r>
        <w:t xml:space="preserve">A: Subacute, monocular vision loss over hours to days.</w:t>
      </w:r>
    </w:p>
    <w:p>
      <w:pPr>
        <w:pStyle w:val="BodyText"/>
      </w:pPr>
      <w:r>
        <w:t xml:space="preserve">Q2: How does the pain in ON typically behave?</w:t>
      </w:r>
      <w:r>
        <w:t xml:space="preserve"> </w:t>
      </w:r>
      <w:r>
        <w:t xml:space="preserve">A: It is usually retro-orbital and exacerbated by eye movement.</w:t>
      </w:r>
    </w:p>
    <w:p>
      <w:pPr>
        <w:pStyle w:val="BodyText"/>
      </w:pPr>
      <w:r>
        <w:t xml:space="preserve">Q3: What is the significance of the</w:t>
      </w:r>
      <w:r>
        <w:t xml:space="preserve"> </w:t>
      </w:r>
      <w:r>
        <w:t xml:space="preserve">“Pulfrich effect”</w:t>
      </w:r>
      <w:r>
        <w:t xml:space="preserve"> </w:t>
      </w:r>
      <w:r>
        <w:t xml:space="preserve">in ON?</w:t>
      </w:r>
      <w:r>
        <w:t xml:space="preserve"> </w:t>
      </w:r>
      <w:r>
        <w:t xml:space="preserve">A: Objects moving in a straight line appear to move in a curved path due to delayed conduction in the affected nerve.</w:t>
      </w:r>
    </w:p>
    <w:p>
      <w:pPr>
        <w:pStyle w:val="BodyText"/>
      </w:pPr>
      <w:r>
        <w:t xml:space="preserve">Q4: What is Uhthoff’s phenomenon?</w:t>
      </w:r>
      <w:r>
        <w:t xml:space="preserve"> </w:t>
      </w:r>
      <w:r>
        <w:t xml:space="preserve">A: Transient worsening of neurological symptoms (like vision) with increased body temperature (e.g., exercise, hot shower).</w:t>
      </w:r>
    </w:p>
    <w:p>
      <w:pPr>
        <w:pStyle w:val="BodyText"/>
      </w:pPr>
      <w:r>
        <w:t xml:space="preserve">Q5: Define a Relative Afferent Pupillary Defect (RAPD).</w:t>
      </w:r>
      <w:r>
        <w:t xml:space="preserve"> </w:t>
      </w:r>
      <w:r>
        <w:t xml:space="preserve">A: Also known as a Marcus Gunn pupil, it is a sign of asymmetric optic nerve disease where the affected pupil dilates when the light is swung from the healthy to the affected eye.</w:t>
      </w:r>
    </w:p>
    <w:p>
      <w:pPr>
        <w:pStyle w:val="BodyText"/>
      </w:pPr>
      <w:r>
        <w:t xml:space="preserve">Q6: Why does color vision (dyschromatopsia) often drop out before visual acuity?</w:t>
      </w:r>
      <w:r>
        <w:t xml:space="preserve"> </w:t>
      </w:r>
      <w:r>
        <w:t xml:space="preserve">A: Optic nerve fibers carrying color information (macular fibers) are highly sensitive to demyelination.</w:t>
      </w:r>
    </w:p>
    <w:p>
      <w:pPr>
        <w:pStyle w:val="BodyText"/>
      </w:pPr>
      <w:r>
        <w:t xml:space="preserve">Q7: What is the typical age and gender demographic for idiopathic ON?</w:t>
      </w:r>
      <w:r>
        <w:t xml:space="preserve"> </w:t>
      </w:r>
      <w:r>
        <w:t xml:space="preserve">A: Young adults (20-40 years), with a strong female predominance (3:1).</w:t>
      </w:r>
    </w:p>
    <w:p>
      <w:pPr>
        <w:pStyle w:val="BodyText"/>
      </w:pPr>
      <w:r>
        <w:t xml:space="preserve">Q8: True or False: A normal fundoscopic exam rules out optic neuritis.</w:t>
      </w:r>
      <w:r>
        <w:t xml:space="preserve"> </w:t>
      </w:r>
      <w:r>
        <w:t xml:space="preserve">A: False; two-thirds of cases are retrobulbar (normal disc), while one-third show papillitis (disc swelling).</w:t>
      </w:r>
    </w:p>
    <w:p>
      <w:pPr>
        <w:pStyle w:val="BodyText"/>
      </w:pPr>
      <w:r>
        <w:t xml:space="preserve">Q9: What is the</w:t>
      </w:r>
      <w:r>
        <w:t xml:space="preserve"> </w:t>
      </w:r>
      <w:r>
        <w:t xml:space="preserve">“red desaturation”</w:t>
      </w:r>
      <w:r>
        <w:t xml:space="preserve"> </w:t>
      </w:r>
      <w:r>
        <w:t xml:space="preserve">test?</w:t>
      </w:r>
      <w:r>
        <w:t xml:space="preserve"> </w:t>
      </w:r>
      <w:r>
        <w:t xml:space="preserve">A: Asking the patient to compare the brightness of a red object between the two eyes; the affected eye perceives it as less intense or washed out.</w:t>
      </w:r>
    </w:p>
    <w:p>
      <w:pPr>
        <w:pStyle w:val="BodyText"/>
      </w:pPr>
      <w:r>
        <w:t xml:space="preserve">Q10: What is the typical timeframe for vision to reach its nadir in ON?</w:t>
      </w:r>
      <w:r>
        <w:t xml:space="preserve"> </w:t>
      </w:r>
      <w:r>
        <w:t xml:space="preserve">A: Usually within 1-2 weeks.</w:t>
      </w:r>
    </w:p>
    <w:p>
      <w:pPr>
        <w:pStyle w:val="BodyText"/>
      </w:pPr>
      <w:r>
        <w:t xml:space="preserve">Q11: If a patient has bilateral vision loss, what alternative diagnosis should be prioritized?</w:t>
      </w:r>
      <w:r>
        <w:t xml:space="preserve"> </w:t>
      </w:r>
      <w:r>
        <w:t xml:space="preserve">A: Neuromyelitis Optica (NMO) or MOG-antibody associated disease (MOGAD).</w:t>
      </w:r>
    </w:p>
    <w:p>
      <w:pPr>
        <w:pStyle w:val="BodyText"/>
      </w:pPr>
      <w:r>
        <w:t xml:space="preserve">12: What is the significance of</w:t>
      </w:r>
      <w:r>
        <w:t xml:space="preserve"> </w:t>
      </w:r>
      <w:r>
        <w:t xml:space="preserve">“phosphenes”</w:t>
      </w:r>
      <w:r>
        <w:t xml:space="preserve"> </w:t>
      </w:r>
      <w:r>
        <w:t xml:space="preserve">in this context?</w:t>
      </w:r>
      <w:r>
        <w:t xml:space="preserve"> </w:t>
      </w:r>
      <w:r>
        <w:t xml:space="preserve">A: Transient light flashes, often triggered by eye movement, common in acute ON.</w:t>
      </w:r>
    </w:p>
    <w:p>
      <w:pPr>
        <w:pStyle w:val="BodyText"/>
      </w:pPr>
      <w:r>
        <w:t xml:space="preserve">Q13: Does the presence of severe optic disc edema make MS-associated ON more or less likely?</w:t>
      </w:r>
      <w:r>
        <w:t xml:space="preserve"> </w:t>
      </w:r>
      <w:r>
        <w:t xml:space="preserve">A: Less likely; severe edema may suggest NMO, MOGAD, or NAION.</w:t>
      </w:r>
    </w:p>
    <w:p>
      <w:pPr>
        <w:pStyle w:val="BodyText"/>
      </w:pPr>
      <w:r>
        <w:t xml:space="preserve">Q14: How does ON vision loss differ from a retinal artery occlusion?</w:t>
      </w:r>
      <w:r>
        <w:t xml:space="preserve"> </w:t>
      </w:r>
      <w:r>
        <w:t xml:space="preserve">A: ON loss is subacute and often central (scotoma); RAO is sudden, painless, and often involves the entire field or an altitudinal defect.</w:t>
      </w:r>
    </w:p>
    <w:p>
      <w:pPr>
        <w:pStyle w:val="BodyText"/>
      </w:pPr>
      <w:r>
        <w:t xml:space="preserve">Q15: What is the most important initial physical exam finding to confirm optic nerve pathology?</w:t>
      </w:r>
      <w:r>
        <w:t xml:space="preserve"> </w:t>
      </w:r>
      <w:r>
        <w:t xml:space="preserve">A: The Relative Afferent Pupillary Defect (RAPD).</w:t>
      </w:r>
    </w:p>
    <w:bookmarkEnd w:id="9"/>
    <w:bookmarkStart w:id="10" w:name="q16-q35-the-diagnostic-suite-mri-ocb-lp"/>
    <w:p>
      <w:pPr>
        <w:pStyle w:val="Heading3"/>
      </w:pPr>
      <w:r>
        <w:t xml:space="preserve">Q16-Q35: The Diagnostic Suite (MRI, OCB, LP)</w:t>
      </w:r>
    </w:p>
    <w:p>
      <w:pPr>
        <w:pStyle w:val="FirstParagraph"/>
      </w:pPr>
      <w:r>
        <w:t xml:space="preserve">Q16: What is the gold standard imaging modality for suspected ON?</w:t>
      </w:r>
      <w:r>
        <w:t xml:space="preserve"> </w:t>
      </w:r>
      <w:r>
        <w:t xml:space="preserve">A: MRI of the Brain and Orbits with and without gadolinium.</w:t>
      </w:r>
    </w:p>
    <w:p>
      <w:pPr>
        <w:pStyle w:val="BodyText"/>
      </w:pPr>
      <w:r>
        <w:t xml:space="preserve">Q17: Why is gadolinium used in MRI for ON?</w:t>
      </w:r>
      <w:r>
        <w:t xml:space="preserve"> </w:t>
      </w:r>
      <w:r>
        <w:t xml:space="preserve">A: To identify active blood-brain barrier breakdown and nerve enhancement.</w:t>
      </w:r>
    </w:p>
    <w:p>
      <w:pPr>
        <w:pStyle w:val="BodyText"/>
      </w:pPr>
      <w:r>
        <w:t xml:space="preserve">Q18: What MRI sequence is best for visualizing optic nerve inflammation?</w:t>
      </w:r>
      <w:r>
        <w:t xml:space="preserve"> </w:t>
      </w:r>
      <w:r>
        <w:t xml:space="preserve">A: T2-weighted fat-suppressed (STIR) images and post-contrast T1.</w:t>
      </w:r>
    </w:p>
    <w:p>
      <w:pPr>
        <w:pStyle w:val="BodyText"/>
      </w:pPr>
      <w:r>
        <w:t xml:space="preserve">Q19: What is the significance of</w:t>
      </w:r>
      <w:r>
        <w:t xml:space="preserve"> </w:t>
      </w:r>
      <w:r>
        <w:t xml:space="preserve">“Dawson’s Fingers”</w:t>
      </w:r>
      <w:r>
        <w:t xml:space="preserve"> </w:t>
      </w:r>
      <w:r>
        <w:t xml:space="preserve">on MRI?</w:t>
      </w:r>
      <w:r>
        <w:t xml:space="preserve"> </w:t>
      </w:r>
      <w:r>
        <w:t xml:space="preserve">A: Ovoid T2/FLAIR hyperintensities perpendicular to the ventricles, characteristic of MS.</w:t>
      </w:r>
    </w:p>
    <w:p>
      <w:pPr>
        <w:pStyle w:val="BodyText"/>
      </w:pPr>
      <w:r>
        <w:t xml:space="preserve">Q20: What is the</w:t>
      </w:r>
      <w:r>
        <w:t xml:space="preserve"> </w:t>
      </w:r>
      <w:r>
        <w:t xml:space="preserve">“McDonald Criteria”</w:t>
      </w:r>
      <w:r>
        <w:t xml:space="preserve">?</w:t>
      </w:r>
      <w:r>
        <w:t xml:space="preserve"> </w:t>
      </w:r>
      <w:r>
        <w:t xml:space="preserve">A: The clinical and radiographic criteria used to diagnose MS, requiring dissemination in time and space.</w:t>
      </w:r>
    </w:p>
    <w:p>
      <w:pPr>
        <w:pStyle w:val="BodyText"/>
      </w:pPr>
      <w:r>
        <w:t xml:space="preserve">Q21: Why perform a Lumbar Puncture in a patient with isolated ON?</w:t>
      </w:r>
      <w:r>
        <w:t xml:space="preserve"> </w:t>
      </w:r>
      <w:r>
        <w:t xml:space="preserve">A: To look for oligoclonal bands (OCBs), which are a strong predictor of conversion to MS.</w:t>
      </w:r>
    </w:p>
    <w:p>
      <w:pPr>
        <w:pStyle w:val="BodyText"/>
      </w:pPr>
      <w:r>
        <w:t xml:space="preserve">Q22: What constitutes a positive OCB result in CSF?</w:t>
      </w:r>
      <w:r>
        <w:t xml:space="preserve"> </w:t>
      </w:r>
      <w:r>
        <w:t xml:space="preserve">A: The presence of two or more bands in the CSF that are not present in the serum.</w:t>
      </w:r>
    </w:p>
    <w:p>
      <w:pPr>
        <w:pStyle w:val="BodyText"/>
      </w:pPr>
      <w:r>
        <w:t xml:space="preserve">Q23: What is the typical CSF white cell count in MS/ON?</w:t>
      </w:r>
      <w:r>
        <w:t xml:space="preserve"> </w:t>
      </w:r>
      <w:r>
        <w:t xml:space="preserve">A: Usually less than 50 cells/mm³, primarily mononuclear; higher counts suggest NMO or ADEM.</w:t>
      </w:r>
    </w:p>
    <w:p>
      <w:pPr>
        <w:pStyle w:val="BodyText"/>
      </w:pPr>
      <w:r>
        <w:t xml:space="preserve">Q24: What does a high CSF opening pressure (&gt;25 cm H2O) suggest in a patient with vision loss?</w:t>
      </w:r>
      <w:r>
        <w:t xml:space="preserve"> </w:t>
      </w:r>
      <w:r>
        <w:t xml:space="preserve">A: Idiopathic Intracranial Hypertension (IIH).</w:t>
      </w:r>
    </w:p>
    <w:p>
      <w:pPr>
        <w:pStyle w:val="BodyText"/>
      </w:pPr>
      <w:r>
        <w:t xml:space="preserve">Q25: What are Visual Evoked Potentials (VEP)?</w:t>
      </w:r>
      <w:r>
        <w:t xml:space="preserve"> </w:t>
      </w:r>
      <w:r>
        <w:t xml:space="preserve">A: An electrophysiologic test measuring the time it takes for a visual stimulus to reach the cortex; delayed P100 latency suggests demyelination.</w:t>
      </w:r>
    </w:p>
    <w:p>
      <w:pPr>
        <w:pStyle w:val="BodyText"/>
      </w:pPr>
      <w:r>
        <w:t xml:space="preserve">Q26: When is VEP most useful?</w:t>
      </w:r>
      <w:r>
        <w:t xml:space="preserve"> </w:t>
      </w:r>
      <w:r>
        <w:t xml:space="preserve">A: When the clinical diagnosis is uncertain or to document a previous subclinical episode of ON.</w:t>
      </w:r>
    </w:p>
    <w:p>
      <w:pPr>
        <w:pStyle w:val="BodyText"/>
      </w:pPr>
      <w:r>
        <w:t xml:space="preserve">Q27: What is Optical Coherence Tomography (OCT)?</w:t>
      </w:r>
      <w:r>
        <w:t xml:space="preserve"> </w:t>
      </w:r>
      <w:r>
        <w:t xml:space="preserve">A: A non-invasive imaging technique that measures the thickness of the Retinal Nerve Fiber Layer (RNFL).</w:t>
      </w:r>
    </w:p>
    <w:p>
      <w:pPr>
        <w:pStyle w:val="BodyText"/>
      </w:pPr>
      <w:r>
        <w:t xml:space="preserve">Q28: How does RNFL thickness change in the acute vs. chronic phase of ON?</w:t>
      </w:r>
      <w:r>
        <w:t xml:space="preserve"> </w:t>
      </w:r>
      <w:r>
        <w:t xml:space="preserve">A: Acute: May be normal or thickened (if edema). Chronic: Thinning (atrophy) occurs after 3-6 months.</w:t>
      </w:r>
    </w:p>
    <w:p>
      <w:pPr>
        <w:pStyle w:val="BodyText"/>
      </w:pPr>
      <w:r>
        <w:t xml:space="preserve">Q29: Why is MRI of the spine often performed alongside brain MRI?</w:t>
      </w:r>
      <w:r>
        <w:t xml:space="preserve"> </w:t>
      </w:r>
      <w:r>
        <w:t xml:space="preserve">A: To check for asymptomatic lesions, which would satisfy the</w:t>
      </w:r>
      <w:r>
        <w:t xml:space="preserve"> </w:t>
      </w:r>
      <w:r>
        <w:t xml:space="preserve">“dissemination in space”</w:t>
      </w:r>
      <w:r>
        <w:t xml:space="preserve"> </w:t>
      </w:r>
      <w:r>
        <w:t xml:space="preserve">criteria for MS.</w:t>
      </w:r>
    </w:p>
    <w:p>
      <w:pPr>
        <w:pStyle w:val="BodyText"/>
      </w:pPr>
      <w:r>
        <w:t xml:space="preserve">Q30: What is</w:t>
      </w:r>
      <w:r>
        <w:t xml:space="preserve"> </w:t>
      </w:r>
      <w:r>
        <w:t xml:space="preserve">“short-segment”</w:t>
      </w:r>
      <w:r>
        <w:t xml:space="preserve"> </w:t>
      </w:r>
      <w:r>
        <w:t xml:space="preserve">vs. </w:t>
      </w:r>
      <w:r>
        <w:t xml:space="preserve">“long-segment”</w:t>
      </w:r>
      <w:r>
        <w:t xml:space="preserve"> </w:t>
      </w:r>
      <w:r>
        <w:t xml:space="preserve">spinal cord lesions?</w:t>
      </w:r>
      <w:r>
        <w:t xml:space="preserve"> </w:t>
      </w:r>
      <w:r>
        <w:t xml:space="preserve">A: Short-segment (&lt;3 vertebrae) is typical of MS; Long-segment (LETM, ≥3 vertebrae) is typical of NMO.</w:t>
      </w:r>
    </w:p>
    <w:p>
      <w:pPr>
        <w:pStyle w:val="BodyText"/>
      </w:pPr>
      <w:r>
        <w:t xml:space="preserve">Q31: What serum antibodies should be checked in severe or bilateral ON?</w:t>
      </w:r>
      <w:r>
        <w:t xml:space="preserve"> </w:t>
      </w:r>
      <w:r>
        <w:t xml:space="preserve">A: Aquaporin-4 (AQP4-IgG) and Myelin Oligodendrocyte Glycoprotein (MOG-IgG).</w:t>
      </w:r>
    </w:p>
    <w:p>
      <w:pPr>
        <w:pStyle w:val="BodyText"/>
      </w:pPr>
      <w:r>
        <w:t xml:space="preserve">Q32: Is CSF protein typically high or low in ON?</w:t>
      </w:r>
      <w:r>
        <w:t xml:space="preserve"> </w:t>
      </w:r>
      <w:r>
        <w:t xml:space="preserve">A: Usually normal or mildly elevated; very high protein suggests alternate diagnoses like Sarcoidosis or Lymphoma.</w:t>
      </w:r>
    </w:p>
    <w:p>
      <w:pPr>
        <w:pStyle w:val="BodyText"/>
      </w:pPr>
      <w:r>
        <w:t xml:space="preserve">Q33: What is</w:t>
      </w:r>
      <w:r>
        <w:t xml:space="preserve"> </w:t>
      </w:r>
      <w:r>
        <w:t xml:space="preserve">“dissemination in time”</w:t>
      </w:r>
      <w:r>
        <w:t xml:space="preserve"> </w:t>
      </w:r>
      <w:r>
        <w:t xml:space="preserve">(DIT) on MRI?</w:t>
      </w:r>
      <w:r>
        <w:t xml:space="preserve"> </w:t>
      </w:r>
      <w:r>
        <w:t xml:space="preserve">A: The presence of both enhancing and non-enhancing lesions simultaneously, or a new lesion on follow-up MRI.</w:t>
      </w:r>
    </w:p>
    <w:p>
      <w:pPr>
        <w:pStyle w:val="BodyText"/>
      </w:pPr>
      <w:r>
        <w:t xml:space="preserve">34: Can OCBs be found in conditions other than MS?</w:t>
      </w:r>
      <w:r>
        <w:t xml:space="preserve"> </w:t>
      </w:r>
      <w:r>
        <w:t xml:space="preserve">A: Yes (e.g., neurosyphilis, subacute sclerosing panencephalitis), but they are highly suggestive of MS in the right clinical context.</w:t>
      </w:r>
    </w:p>
    <w:p>
      <w:pPr>
        <w:pStyle w:val="BodyText"/>
      </w:pPr>
      <w:r>
        <w:t xml:space="preserve">Q35: What is the role of CT in the evaluation of ON?</w:t>
      </w:r>
      <w:r>
        <w:t xml:space="preserve"> </w:t>
      </w:r>
      <w:r>
        <w:t xml:space="preserve">A: Limited; used primarily to rule out orbital masses or fractures if MRI is unavailable.</w:t>
      </w:r>
    </w:p>
    <w:bookmarkEnd w:id="10"/>
    <w:bookmarkStart w:id="11" w:name="X4263c6d1c434a2268da2daa604a0e3cd54478b0"/>
    <w:p>
      <w:pPr>
        <w:pStyle w:val="Heading3"/>
      </w:pPr>
      <w:r>
        <w:t xml:space="preserve">Q36-Q55: Acute ED Management (Corticosteroids - ONTT Evidence)</w:t>
      </w:r>
    </w:p>
    <w:p>
      <w:pPr>
        <w:pStyle w:val="FirstParagraph"/>
      </w:pPr>
      <w:r>
        <w:t xml:space="preserve">Q36: What was the primary finding of the Optic Neuritis Treatment Trial (ONTT) regarding IV steroids?</w:t>
      </w:r>
      <w:r>
        <w:t xml:space="preserve"> </w:t>
      </w:r>
      <w:r>
        <w:t xml:space="preserve">A: IV steroids accelerated the rate of visual recovery but did not improve the ultimate long-term visual outcome.</w:t>
      </w:r>
    </w:p>
    <w:p>
      <w:pPr>
        <w:pStyle w:val="BodyText"/>
      </w:pPr>
      <w:r>
        <w:t xml:space="preserve">Q37: What was the ONTT finding regarding low-dose oral prednisone?</w:t>
      </w:r>
      <w:r>
        <w:t xml:space="preserve"> </w:t>
      </w:r>
      <w:r>
        <w:t xml:space="preserve">A: Low-dose oral prednisone (1mg/kg) alone was associated with a higher rate of ON recurrence compared to IV steroids or placebo.</w:t>
      </w:r>
    </w:p>
    <w:p>
      <w:pPr>
        <w:pStyle w:val="BodyText"/>
      </w:pPr>
      <w:r>
        <w:t xml:space="preserve">Q38: What is the standard dose for IV Methylprednisolone in acute ON?</w:t>
      </w:r>
      <w:r>
        <w:t xml:space="preserve"> </w:t>
      </w:r>
      <w:r>
        <w:t xml:space="preserve">A: 1000 mg daily for 3 to 5 days.</w:t>
      </w:r>
    </w:p>
    <w:p>
      <w:pPr>
        <w:pStyle w:val="BodyText"/>
      </w:pPr>
      <w:r>
        <w:t xml:space="preserve">Q39: Is an oral taper mandatory after IV steroids?</w:t>
      </w:r>
      <w:r>
        <w:t xml:space="preserve"> </w:t>
      </w:r>
      <w:r>
        <w:t xml:space="preserve">A: It was used in the ONTT, but modern practice varies; some omit it if the IV course was 5 days.</w:t>
      </w:r>
    </w:p>
    <w:p>
      <w:pPr>
        <w:pStyle w:val="BodyText"/>
      </w:pPr>
      <w:r>
        <w:t xml:space="preserve">Q40: What are the common side effects of high-dose steroids to monitor for in the ED?</w:t>
      </w:r>
      <w:r>
        <w:t xml:space="preserve"> </w:t>
      </w:r>
      <w:r>
        <w:t xml:space="preserve">A: Hyperglycemia, hypertension, insomnia, mood changes (psychosis), and metallic taste.</w:t>
      </w:r>
    </w:p>
    <w:p>
      <w:pPr>
        <w:pStyle w:val="BodyText"/>
      </w:pPr>
      <w:r>
        <w:t xml:space="preserve">Q41: How do steroids work in demyelinating emergencies?</w:t>
      </w:r>
      <w:r>
        <w:t xml:space="preserve"> </w:t>
      </w:r>
      <w:r>
        <w:t xml:space="preserve">A: They reduce edema, stabilize the blood-brain barrier, and suppress the inflammatory cytokine storm.</w:t>
      </w:r>
    </w:p>
    <w:p>
      <w:pPr>
        <w:pStyle w:val="BodyText"/>
      </w:pPr>
      <w:r>
        <w:t xml:space="preserve">Q42: When should Plasmapheresis (PLEX) be considered?</w:t>
      </w:r>
      <w:r>
        <w:t xml:space="preserve"> </w:t>
      </w:r>
      <w:r>
        <w:t xml:space="preserve">A: In severe, steroid-refractory cases of ON or Transverse Myelitis, especially if NMO is suspected.</w:t>
      </w:r>
    </w:p>
    <w:p>
      <w:pPr>
        <w:pStyle w:val="BodyText"/>
      </w:pPr>
      <w:r>
        <w:t xml:space="preserve">Q43: What is the typical PLEX regimen?</w:t>
      </w:r>
      <w:r>
        <w:t xml:space="preserve"> </w:t>
      </w:r>
      <w:r>
        <w:t xml:space="preserve">A: 5 to 7 exchanges over 10 to 14 days.</w:t>
      </w:r>
    </w:p>
    <w:p>
      <w:pPr>
        <w:pStyle w:val="BodyText"/>
      </w:pPr>
      <w:r>
        <w:t xml:space="preserve">Q44: Does treatment with steroids reduce the long-term risk of developing MS?</w:t>
      </w:r>
      <w:r>
        <w:t xml:space="preserve"> </w:t>
      </w:r>
      <w:r>
        <w:t xml:space="preserve">A: It temporarily delayed the conversion to MS for 2 years in the ONTT, but this effect disappeared by 3 years.</w:t>
      </w:r>
    </w:p>
    <w:p>
      <w:pPr>
        <w:pStyle w:val="BodyText"/>
      </w:pPr>
      <w:r>
        <w:t xml:space="preserve">Q45: Should you treat ON if the visual acuity is 20/20 but the patient has severe pain?</w:t>
      </w:r>
      <w:r>
        <w:t xml:space="preserve"> </w:t>
      </w:r>
      <w:r>
        <w:t xml:space="preserve">A: Yes; the primary goal in mild vision loss is often pain relief and accelerating recovery.</w:t>
      </w:r>
    </w:p>
    <w:p>
      <w:pPr>
        <w:pStyle w:val="BodyText"/>
      </w:pPr>
      <w:r>
        <w:t xml:space="preserve">Q46: What is the</w:t>
      </w:r>
      <w:r>
        <w:t xml:space="preserve"> </w:t>
      </w:r>
      <w:r>
        <w:t xml:space="preserve">“window of opportunity”</w:t>
      </w:r>
      <w:r>
        <w:t xml:space="preserve"> </w:t>
      </w:r>
      <w:r>
        <w:t xml:space="preserve">for initiating steroids in ON?</w:t>
      </w:r>
      <w:r>
        <w:t xml:space="preserve"> </w:t>
      </w:r>
      <w:r>
        <w:t xml:space="preserve">A: Ideally within 8 days of symptom onset.</w:t>
      </w:r>
    </w:p>
    <w:p>
      <w:pPr>
        <w:pStyle w:val="BodyText"/>
      </w:pPr>
      <w:r>
        <w:t xml:space="preserve">Q47: Is hospitalization required for IV steroid administration?</w:t>
      </w:r>
      <w:r>
        <w:t xml:space="preserve"> </w:t>
      </w:r>
      <w:r>
        <w:t xml:space="preserve">A: Not necessarily; many centers utilize outpatient infusion services or home health.</w:t>
      </w:r>
    </w:p>
    <w:p>
      <w:pPr>
        <w:pStyle w:val="BodyText"/>
      </w:pPr>
      <w:r>
        <w:t xml:space="preserve">Q48: What should be checked before starting high-dose steroids?</w:t>
      </w:r>
      <w:r>
        <w:t xml:space="preserve"> </w:t>
      </w:r>
      <w:r>
        <w:t xml:space="preserve">A: Blood glucose, blood pressure, and a screening for active infections (like TB or UTI).</w:t>
      </w:r>
    </w:p>
    <w:p>
      <w:pPr>
        <w:pStyle w:val="BodyText"/>
      </w:pPr>
      <w:r>
        <w:t xml:space="preserve">Q49: Can Intravenous Immunoglobulin (IVIG) be used instead of steroids?</w:t>
      </w:r>
      <w:r>
        <w:t xml:space="preserve"> </w:t>
      </w:r>
      <w:r>
        <w:t xml:space="preserve">A: Evidence does not support IVIG for acute ON or MS exacerbations.</w:t>
      </w:r>
    </w:p>
    <w:p>
      <w:pPr>
        <w:pStyle w:val="BodyText"/>
      </w:pPr>
      <w:r>
        <w:t xml:space="preserve">Q50: How quickly does pain usually resolve after starting steroids?</w:t>
      </w:r>
      <w:r>
        <w:t xml:space="preserve"> </w:t>
      </w:r>
      <w:r>
        <w:t xml:space="preserve">A: Often within 24-48 hours.</w:t>
      </w:r>
    </w:p>
    <w:p>
      <w:pPr>
        <w:pStyle w:val="BodyText"/>
      </w:pPr>
      <w:r>
        <w:t xml:space="preserve">Q51: What is the role of H2 blockers or PPIs during high-dose steroid therapy?</w:t>
      </w:r>
      <w:r>
        <w:t xml:space="preserve"> </w:t>
      </w:r>
      <w:r>
        <w:t xml:space="preserve">A: To prevent steroid-induced gastritis or peptic ulcer disease.</w:t>
      </w:r>
    </w:p>
    <w:p>
      <w:pPr>
        <w:pStyle w:val="BodyText"/>
      </w:pPr>
      <w:r>
        <w:t xml:space="preserve">Q52: If a patient has a contraindication to steroids, what is the next step?</w:t>
      </w:r>
      <w:r>
        <w:t xml:space="preserve"> </w:t>
      </w:r>
      <w:r>
        <w:t xml:space="preserve">A: Neurology consultation for consideration of PLEX or close observation if symptoms are mild.</w:t>
      </w:r>
    </w:p>
    <w:p>
      <w:pPr>
        <w:pStyle w:val="BodyText"/>
      </w:pPr>
      <w:r>
        <w:t xml:space="preserve">Q53: Does smoking affect the recovery or risk in ON?</w:t>
      </w:r>
      <w:r>
        <w:t xml:space="preserve"> </w:t>
      </w:r>
      <w:r>
        <w:t xml:space="preserve">A: Yes; smoking is associated with worse outcomes and higher risk of conversion to MS.</w:t>
      </w:r>
    </w:p>
    <w:p>
      <w:pPr>
        <w:pStyle w:val="BodyText"/>
      </w:pPr>
      <w:r>
        <w:t xml:space="preserve">Q54: Is Vitamin D supplementation relevant in the acute phase?</w:t>
      </w:r>
      <w:r>
        <w:t xml:space="preserve"> </w:t>
      </w:r>
      <w:r>
        <w:t xml:space="preserve">A: Not for acute treatment, but low levels are a risk factor for MS and are managed long-term.</w:t>
      </w:r>
    </w:p>
    <w:p>
      <w:pPr>
        <w:pStyle w:val="BodyText"/>
      </w:pPr>
      <w:r>
        <w:t xml:space="preserve">Q55: What is the most common reason for treatment failure in ON?</w:t>
      </w:r>
      <w:r>
        <w:t xml:space="preserve"> </w:t>
      </w:r>
      <w:r>
        <w:t xml:space="preserve">A: Misdiagnosis (e.g., the patient has NMO, NAION, or a compressive lesion).</w:t>
      </w:r>
    </w:p>
    <w:bookmarkEnd w:id="11"/>
    <w:bookmarkStart w:id="12" w:name="q56-q75-specific-syndromes-tm-nmo-adem"/>
    <w:p>
      <w:pPr>
        <w:pStyle w:val="Heading3"/>
      </w:pPr>
      <w:r>
        <w:t xml:space="preserve">Q56-Q75: Specific Syndromes (TM, NMO, ADEM)</w:t>
      </w:r>
    </w:p>
    <w:p>
      <w:pPr>
        <w:pStyle w:val="FirstParagraph"/>
      </w:pPr>
      <w:r>
        <w:t xml:space="preserve">Q56: Define Acute Transverse Myelitis (TM).</w:t>
      </w:r>
      <w:r>
        <w:t xml:space="preserve"> </w:t>
      </w:r>
      <w:r>
        <w:t xml:space="preserve">A: Inflammation of the spinal cord causing motor, sensory, and autonomic (bladder/bowel) dysfunction.</w:t>
      </w:r>
    </w:p>
    <w:p>
      <w:pPr>
        <w:pStyle w:val="BodyText"/>
      </w:pPr>
      <w:r>
        <w:t xml:space="preserve">Q57: What is the characteristic sensory finding in TM?</w:t>
      </w:r>
      <w:r>
        <w:t xml:space="preserve"> </w:t>
      </w:r>
      <w:r>
        <w:t xml:space="preserve">A: A clear</w:t>
      </w:r>
      <w:r>
        <w:t xml:space="preserve"> </w:t>
      </w:r>
      <w:r>
        <w:t xml:space="preserve">“sensory level”</w:t>
      </w:r>
      <w:r>
        <w:t xml:space="preserve"> </w:t>
      </w:r>
      <w:r>
        <w:t xml:space="preserve">(e.g., loss of sensation below the T4 dermatome).</w:t>
      </w:r>
    </w:p>
    <w:p>
      <w:pPr>
        <w:pStyle w:val="BodyText"/>
      </w:pPr>
      <w:r>
        <w:t xml:space="preserve">Q58: What is Lhermitte’s sign?</w:t>
      </w:r>
      <w:r>
        <w:t xml:space="preserve"> </w:t>
      </w:r>
      <w:r>
        <w:t xml:space="preserve">A: An electric-shock sensation radiating down the spine with neck flexion, seen in cervical TM or MS.</w:t>
      </w:r>
    </w:p>
    <w:p>
      <w:pPr>
        <w:pStyle w:val="BodyText"/>
      </w:pPr>
      <w:r>
        <w:t xml:space="preserve">Q59: How is Neuromyelitis Optica (NMO) distinct from MS?</w:t>
      </w:r>
      <w:r>
        <w:t xml:space="preserve"> </w:t>
      </w:r>
      <w:r>
        <w:t xml:space="preserve">A: NMO is primarily mediated by antibodies against Aquaporin-4 water channels, causing more severe, necrotic lesions.</w:t>
      </w:r>
    </w:p>
    <w:p>
      <w:pPr>
        <w:pStyle w:val="BodyText"/>
      </w:pPr>
      <w:r>
        <w:t xml:space="preserve">Q60: What is the classic triad of NMO?</w:t>
      </w:r>
      <w:r>
        <w:t xml:space="preserve"> </w:t>
      </w:r>
      <w:r>
        <w:t xml:space="preserve">A: Optic neuritis (often bilateral), Longitudinally Extensive Transverse Myelitis (LETM), and Area Postrema Syndrome.</w:t>
      </w:r>
    </w:p>
    <w:p>
      <w:pPr>
        <w:pStyle w:val="BodyText"/>
      </w:pPr>
      <w:r>
        <w:t xml:space="preserve">Q61: What is Area Postrema Syndrome?</w:t>
      </w:r>
      <w:r>
        <w:t xml:space="preserve"> </w:t>
      </w:r>
      <w:r>
        <w:t xml:space="preserve">A: Intractable hiccups, nausea, and vomiting due to lesions in the dorsal medulla.</w:t>
      </w:r>
    </w:p>
    <w:p>
      <w:pPr>
        <w:pStyle w:val="BodyText"/>
      </w:pPr>
      <w:r>
        <w:t xml:space="preserve">Q62: True or False: MS-associated DMTs (like Interferon) can make NMO worse.</w:t>
      </w:r>
      <w:r>
        <w:t xml:space="preserve"> </w:t>
      </w:r>
      <w:r>
        <w:t xml:space="preserve">A: True; they can trigger severe relapses in NMO patients.</w:t>
      </w:r>
    </w:p>
    <w:p>
      <w:pPr>
        <w:pStyle w:val="BodyText"/>
      </w:pPr>
      <w:r>
        <w:t xml:space="preserve">Q63: What is Acute Disseminated Encephalomyelitis (ADEM)?</w:t>
      </w:r>
      <w:r>
        <w:t xml:space="preserve"> </w:t>
      </w:r>
      <w:r>
        <w:t xml:space="preserve">A: A monophasic demyelinating disease, usually post-infectious, characterized by encephalopathy and multifocal neurological deficits.</w:t>
      </w:r>
    </w:p>
    <w:p>
      <w:pPr>
        <w:pStyle w:val="BodyText"/>
      </w:pPr>
      <w:r>
        <w:t xml:space="preserve">Q64: Who is the typical patient for ADEM?</w:t>
      </w:r>
      <w:r>
        <w:t xml:space="preserve"> </w:t>
      </w:r>
      <w:r>
        <w:t xml:space="preserve">A: Children and adolescents.</w:t>
      </w:r>
    </w:p>
    <w:p>
      <w:pPr>
        <w:pStyle w:val="BodyText"/>
      </w:pPr>
      <w:r>
        <w:t xml:space="preserve">Q65: What MRI finding distinguishes ADEM from MS?</w:t>
      </w:r>
      <w:r>
        <w:t xml:space="preserve"> </w:t>
      </w:r>
      <w:r>
        <w:t xml:space="preserve">A: Large, fluffy, tumefactive lesions that often appear to be the same age (all enhancing or all non-enhancing).</w:t>
      </w:r>
    </w:p>
    <w:p>
      <w:pPr>
        <w:pStyle w:val="BodyText"/>
      </w:pPr>
      <w:r>
        <w:t xml:space="preserve">Q66: What is MOG-antibody associated disease (MOGAD)?</w:t>
      </w:r>
      <w:r>
        <w:t xml:space="preserve"> </w:t>
      </w:r>
      <w:r>
        <w:t xml:space="preserve">A: A demyelinating syndrome (ON, TM, or ADEM-like) associated with antibodies to Myelin Oligodendrocyte Glycoprotein.</w:t>
      </w:r>
    </w:p>
    <w:p>
      <w:pPr>
        <w:pStyle w:val="BodyText"/>
      </w:pPr>
      <w:r>
        <w:t xml:space="preserve">Q67: How does MOG-ON differ from MS-ON?</w:t>
      </w:r>
      <w:r>
        <w:t xml:space="preserve"> </w:t>
      </w:r>
      <w:r>
        <w:t xml:space="preserve">A: MOG-ON is more likely to be bilateral, have severe disc edema, and respond exquisitely to steroids (but may be steroid-dependent).</w:t>
      </w:r>
    </w:p>
    <w:p>
      <w:pPr>
        <w:pStyle w:val="BodyText"/>
      </w:pPr>
      <w:r>
        <w:t xml:space="preserve">Q68: What is a</w:t>
      </w:r>
      <w:r>
        <w:t xml:space="preserve"> </w:t>
      </w:r>
      <w:r>
        <w:t xml:space="preserve">“MS Relapse”</w:t>
      </w:r>
      <w:r>
        <w:t xml:space="preserve"> </w:t>
      </w:r>
      <w:r>
        <w:t xml:space="preserve">(Exacerbation)?</w:t>
      </w:r>
      <w:r>
        <w:t xml:space="preserve"> </w:t>
      </w:r>
      <w:r>
        <w:t xml:space="preserve">A: New or worsening neurological symptoms lasting &gt;24 hours in the absence of fever or infection.</w:t>
      </w:r>
    </w:p>
    <w:p>
      <w:pPr>
        <w:pStyle w:val="BodyText"/>
      </w:pPr>
      <w:r>
        <w:t xml:space="preserve">Q69: What is a</w:t>
      </w:r>
      <w:r>
        <w:t xml:space="preserve"> </w:t>
      </w:r>
      <w:r>
        <w:t xml:space="preserve">“Pseudo-relapse”</w:t>
      </w:r>
      <w:r>
        <w:t xml:space="preserve">?</w:t>
      </w:r>
      <w:r>
        <w:t xml:space="preserve"> </w:t>
      </w:r>
      <w:r>
        <w:t xml:space="preserve">A: Worsening of old neurological deficits due to physiological stress (fever, heat, UTI) without new demyelination.</w:t>
      </w:r>
    </w:p>
    <w:p>
      <w:pPr>
        <w:pStyle w:val="BodyText"/>
      </w:pPr>
      <w:r>
        <w:t xml:space="preserve">Q70: What is Marburg Multiple Sclerosis?</w:t>
      </w:r>
      <w:r>
        <w:t xml:space="preserve"> </w:t>
      </w:r>
      <w:r>
        <w:t xml:space="preserve">A: A rare, fulminant, and often fatal variant of MS with rapid progression.</w:t>
      </w:r>
    </w:p>
    <w:p>
      <w:pPr>
        <w:pStyle w:val="BodyText"/>
      </w:pPr>
      <w:r>
        <w:t xml:space="preserve">Q71: What is Balo’s Concentric Sclerosis?</w:t>
      </w:r>
      <w:r>
        <w:t xml:space="preserve"> </w:t>
      </w:r>
      <w:r>
        <w:t xml:space="preserve">A: A rare demyelinating condition characterized by concentric rings of myelin preservation and loss on MRI.</w:t>
      </w:r>
    </w:p>
    <w:p>
      <w:pPr>
        <w:pStyle w:val="BodyText"/>
      </w:pPr>
      <w:r>
        <w:t xml:space="preserve">Q72: How does spinal cord compression present differently from TM?</w:t>
      </w:r>
      <w:r>
        <w:t xml:space="preserve"> </w:t>
      </w:r>
      <w:r>
        <w:t xml:space="preserve">A: Compression often has a clear mechanical cause (trauma, tumor) and may show bony changes; TM is inflammatory.</w:t>
      </w:r>
    </w:p>
    <w:p>
      <w:pPr>
        <w:pStyle w:val="BodyText"/>
      </w:pPr>
      <w:r>
        <w:t xml:space="preserve">Q73: What is the</w:t>
      </w:r>
      <w:r>
        <w:t xml:space="preserve"> </w:t>
      </w:r>
      <w:r>
        <w:t xml:space="preserve">“H-sign”</w:t>
      </w:r>
      <w:r>
        <w:t xml:space="preserve"> </w:t>
      </w:r>
      <w:r>
        <w:t xml:space="preserve">on spinal cord MRI?</w:t>
      </w:r>
      <w:r>
        <w:t xml:space="preserve"> </w:t>
      </w:r>
      <w:r>
        <w:t xml:space="preserve">A: Grey matter involvement in the cord, sometimes seen in MOGAD or NMO.</w:t>
      </w:r>
    </w:p>
    <w:p>
      <w:pPr>
        <w:pStyle w:val="BodyText"/>
      </w:pPr>
      <w:r>
        <w:t xml:space="preserve">Q74: Can demyelination cause seizures?</w:t>
      </w:r>
      <w:r>
        <w:t xml:space="preserve"> </w:t>
      </w:r>
      <w:r>
        <w:t xml:space="preserve">A: Yes, particularly in ADEM or if there are extensive cortical/subcortical lesions in MS.</w:t>
      </w:r>
    </w:p>
    <w:p>
      <w:pPr>
        <w:pStyle w:val="BodyText"/>
      </w:pPr>
      <w:r>
        <w:t xml:space="preserve">Q75: What is the prognosis for recovery from a first episode of ADEM?</w:t>
      </w:r>
      <w:r>
        <w:t xml:space="preserve"> </w:t>
      </w:r>
      <w:r>
        <w:t xml:space="preserve">A: Generally good, with most patients making a full or near-full recovery over weeks to months.</w:t>
      </w:r>
    </w:p>
    <w:bookmarkEnd w:id="12"/>
    <w:bookmarkStart w:id="13" w:name="X03720d586a85593775f34d4568dd62d184cdd73"/>
    <w:p>
      <w:pPr>
        <w:pStyle w:val="Heading3"/>
      </w:pPr>
      <w:r>
        <w:t xml:space="preserve">Q76-Q90: Differential Diagnosis (Stroke, Compression, NAION)</w:t>
      </w:r>
    </w:p>
    <w:p>
      <w:pPr>
        <w:pStyle w:val="FirstParagraph"/>
      </w:pPr>
      <w:r>
        <w:t xml:space="preserve">Q76: What is Non-Arteritic Ischemic Optic Neuropathy (NAION)?</w:t>
      </w:r>
      <w:r>
        <w:t xml:space="preserve"> </w:t>
      </w:r>
      <w:r>
        <w:t xml:space="preserve">A:</w:t>
      </w:r>
      <w:r>
        <w:t xml:space="preserve"> </w:t>
      </w:r>
      <w:r>
        <w:t xml:space="preserve">“Stroke of the optic nerve,”</w:t>
      </w:r>
      <w:r>
        <w:t xml:space="preserve"> </w:t>
      </w:r>
      <w:r>
        <w:t xml:space="preserve">usually in older patients with vascular risk factors; presents with sudden, painless, altitudinal vision loss.</w:t>
      </w:r>
    </w:p>
    <w:p>
      <w:pPr>
        <w:pStyle w:val="BodyText"/>
      </w:pPr>
      <w:r>
        <w:t xml:space="preserve">Q77: How does the fundus look in NAION?</w:t>
      </w:r>
      <w:r>
        <w:t xml:space="preserve"> </w:t>
      </w:r>
      <w:r>
        <w:t xml:space="preserve">A:</w:t>
      </w:r>
      <w:r>
        <w:t xml:space="preserve"> </w:t>
      </w:r>
      <w:r>
        <w:t xml:space="preserve">“Crowded”</w:t>
      </w:r>
      <w:r>
        <w:t xml:space="preserve"> </w:t>
      </w:r>
      <w:r>
        <w:t xml:space="preserve">disc with segmental edema and often splinter hemorrhages.</w:t>
      </w:r>
    </w:p>
    <w:p>
      <w:pPr>
        <w:pStyle w:val="BodyText"/>
      </w:pPr>
      <w:r>
        <w:t xml:space="preserve">Q78: What is the</w:t>
      </w:r>
      <w:r>
        <w:t xml:space="preserve"> </w:t>
      </w:r>
      <w:r>
        <w:t xml:space="preserve">“Small Cup-to-Disc Ratio”</w:t>
      </w:r>
      <w:r>
        <w:t xml:space="preserve"> </w:t>
      </w:r>
      <w:r>
        <w:t xml:space="preserve">(Disc at Risk)?</w:t>
      </w:r>
      <w:r>
        <w:t xml:space="preserve"> </w:t>
      </w:r>
      <w:r>
        <w:t xml:space="preserve">A: A risk factor for NAION.</w:t>
      </w:r>
    </w:p>
    <w:p>
      <w:pPr>
        <w:pStyle w:val="BodyText"/>
      </w:pPr>
      <w:r>
        <w:t xml:space="preserve">Q79: What is Giant Cell Arteritis (GCA)?</w:t>
      </w:r>
      <w:r>
        <w:t xml:space="preserve"> </w:t>
      </w:r>
      <w:r>
        <w:t xml:space="preserve">A: An inflammatory vasculitis that can cause Arteritic Ischemic Optic Neuropathy; a true ocular emergency.</w:t>
      </w:r>
    </w:p>
    <w:p>
      <w:pPr>
        <w:pStyle w:val="BodyText"/>
      </w:pPr>
      <w:r>
        <w:t xml:space="preserve">Q80: What labs are critical if GCA is suspected?</w:t>
      </w:r>
      <w:r>
        <w:t xml:space="preserve"> </w:t>
      </w:r>
      <w:r>
        <w:t xml:space="preserve">A: ESR, CRP, and Platelets (all typically elevated).</w:t>
      </w:r>
    </w:p>
    <w:p>
      <w:pPr>
        <w:pStyle w:val="BodyText"/>
      </w:pPr>
      <w:r>
        <w:t xml:space="preserve">Q81: How do you differentiate MS from Neurosarcoidosis?</w:t>
      </w:r>
      <w:r>
        <w:t xml:space="preserve"> </w:t>
      </w:r>
      <w:r>
        <w:t xml:space="preserve">A: Sarcoidosis often shows meningeal enhancement, hilar lymphadenopathy on CXR, and high CSF ACE levels.</w:t>
      </w:r>
    </w:p>
    <w:p>
      <w:pPr>
        <w:pStyle w:val="BodyText"/>
      </w:pPr>
      <w:r>
        <w:t xml:space="preserve">Q82: What is Leber’s Hereditary Optic Neuropathy (LHON)?</w:t>
      </w:r>
      <w:r>
        <w:t xml:space="preserve"> </w:t>
      </w:r>
      <w:r>
        <w:t xml:space="preserve">A: A mitochondrial disorder causing painless, sequential, profound central vision loss in young men.</w:t>
      </w:r>
    </w:p>
    <w:p>
      <w:pPr>
        <w:pStyle w:val="BodyText"/>
      </w:pPr>
      <w:r>
        <w:t xml:space="preserve">Q83: What mimics a</w:t>
      </w:r>
      <w:r>
        <w:t xml:space="preserve"> </w:t>
      </w:r>
      <w:r>
        <w:t xml:space="preserve">“sensory level”</w:t>
      </w:r>
      <w:r>
        <w:t xml:space="preserve"> </w:t>
      </w:r>
      <w:r>
        <w:t xml:space="preserve">but is not TM?</w:t>
      </w:r>
      <w:r>
        <w:t xml:space="preserve"> </w:t>
      </w:r>
      <w:r>
        <w:t xml:space="preserve">A: A thoracic or cervical disc herniation or spinal cord infarct (anterior spinal artery syndrome).</w:t>
      </w:r>
    </w:p>
    <w:p>
      <w:pPr>
        <w:pStyle w:val="BodyText"/>
      </w:pPr>
      <w:r>
        <w:t xml:space="preserve">Q84: How does Anterior Spinal Artery Syndrome differ from TM?</w:t>
      </w:r>
      <w:r>
        <w:t xml:space="preserve"> </w:t>
      </w:r>
      <w:r>
        <w:t xml:space="preserve">A: It has a sudden onset (</w:t>
      </w:r>
      <w:r>
        <w:t xml:space="preserve">“thunderclap”</w:t>
      </w:r>
      <w:r>
        <w:t xml:space="preserve"> </w:t>
      </w:r>
      <w:r>
        <w:t xml:space="preserve">back pain) and spares the dorsal columns (proprioception/vibration).</w:t>
      </w:r>
    </w:p>
    <w:p>
      <w:pPr>
        <w:pStyle w:val="BodyText"/>
      </w:pPr>
      <w:r>
        <w:t xml:space="preserve">Q85: Can Neurosyphilis mimic MS?</w:t>
      </w:r>
      <w:r>
        <w:t xml:space="preserve"> </w:t>
      </w:r>
      <w:r>
        <w:t xml:space="preserve">A: Yes, it is the</w:t>
      </w:r>
      <w:r>
        <w:t xml:space="preserve"> </w:t>
      </w:r>
      <w:r>
        <w:t xml:space="preserve">“Great Imitator”</w:t>
      </w:r>
      <w:r>
        <w:t xml:space="preserve"> </w:t>
      </w:r>
      <w:r>
        <w:t xml:space="preserve">and can cause optic neuritis and spinal cord lesions (tabes dorsalis).</w:t>
      </w:r>
    </w:p>
    <w:p>
      <w:pPr>
        <w:pStyle w:val="BodyText"/>
      </w:pPr>
      <w:r>
        <w:t xml:space="preserve">Q86: What is Vitamin B12 deficiency’s role in the differential?</w:t>
      </w:r>
      <w:r>
        <w:t xml:space="preserve"> </w:t>
      </w:r>
      <w:r>
        <w:t xml:space="preserve">A: It causes Subacute Combined Degeneration, which involves the dorsal columns and corticospinal tracts, mimicking TM.</w:t>
      </w:r>
    </w:p>
    <w:p>
      <w:pPr>
        <w:pStyle w:val="BodyText"/>
      </w:pPr>
      <w:r>
        <w:t xml:space="preserve">87: What is Functional Neurological Disorder (FND)?</w:t>
      </w:r>
      <w:r>
        <w:t xml:space="preserve"> </w:t>
      </w:r>
      <w:r>
        <w:t xml:space="preserve">A: Neurological symptoms (like blindness or paralysis) without a structural lesion; diagnosed by specific exam signs (e.g., Hoover’s sign).</w:t>
      </w:r>
    </w:p>
    <w:p>
      <w:pPr>
        <w:pStyle w:val="BodyText"/>
      </w:pPr>
      <w:r>
        <w:t xml:space="preserve">Q88: How do you test for functional blindness?</w:t>
      </w:r>
      <w:r>
        <w:t xml:space="preserve"> </w:t>
      </w:r>
      <w:r>
        <w:t xml:space="preserve">A: Menace reflex, optokinetic nystagmus (OKN) drum, or the</w:t>
      </w:r>
      <w:r>
        <w:t xml:space="preserve"> </w:t>
      </w:r>
      <w:r>
        <w:t xml:space="preserve">“mirror test.”</w:t>
      </w:r>
    </w:p>
    <w:p>
      <w:pPr>
        <w:pStyle w:val="BodyText"/>
      </w:pPr>
      <w:r>
        <w:t xml:space="preserve">Q89: What is</w:t>
      </w:r>
      <w:r>
        <w:t xml:space="preserve"> </w:t>
      </w:r>
      <w:r>
        <w:t xml:space="preserve">“Tumefactive MS”</w:t>
      </w:r>
      <w:r>
        <w:t xml:space="preserve">?</w:t>
      </w:r>
      <w:r>
        <w:t xml:space="preserve"> </w:t>
      </w:r>
      <w:r>
        <w:t xml:space="preserve">A: A large demyelinating lesion (&gt;2cm) with mass effect and edema, often mimicking a brain tumor.</w:t>
      </w:r>
    </w:p>
    <w:p>
      <w:pPr>
        <w:pStyle w:val="BodyText"/>
      </w:pPr>
      <w:r>
        <w:t xml:space="preserve">Q90: What is the role of an orbital CT in the differential?</w:t>
      </w:r>
      <w:r>
        <w:t xml:space="preserve"> </w:t>
      </w:r>
      <w:r>
        <w:t xml:space="preserve">A: To rule out an orbital cellulitis or an intraorbital mass compressing the nerve.</w:t>
      </w:r>
    </w:p>
    <w:bookmarkEnd w:id="13"/>
    <w:bookmarkStart w:id="14" w:name="Xc3c6f29361314dbf580a7bd2d284476acf139bf"/>
    <w:p>
      <w:pPr>
        <w:pStyle w:val="Heading3"/>
      </w:pPr>
      <w:r>
        <w:t xml:space="preserve">Q91-Q100: Disposition &amp; Prognosis (Long-term MS, DMT)</w:t>
      </w:r>
    </w:p>
    <w:p>
      <w:pPr>
        <w:pStyle w:val="FirstParagraph"/>
      </w:pPr>
      <w:r>
        <w:t xml:space="preserve">Q91: If a patient has one episode of ON and a normal brain MRI, what is their 15-year risk of MS?</w:t>
      </w:r>
      <w:r>
        <w:t xml:space="preserve"> </w:t>
      </w:r>
      <w:r>
        <w:t xml:space="preserve">A: Approximately 25%.</w:t>
      </w:r>
    </w:p>
    <w:p>
      <w:pPr>
        <w:pStyle w:val="BodyText"/>
      </w:pPr>
      <w:r>
        <w:t xml:space="preserve">Q92: If the brain MRI shows one or more lesions, what is the 15-year risk?</w:t>
      </w:r>
      <w:r>
        <w:t xml:space="preserve"> </w:t>
      </w:r>
      <w:r>
        <w:t xml:space="preserve">A: Increases to approximately 72-75%.</w:t>
      </w:r>
    </w:p>
    <w:p>
      <w:pPr>
        <w:pStyle w:val="BodyText"/>
      </w:pPr>
      <w:r>
        <w:t xml:space="preserve">Q93: What are Disease-Modifying Therapies (DMTs)?</w:t>
      </w:r>
      <w:r>
        <w:t xml:space="preserve"> </w:t>
      </w:r>
      <w:r>
        <w:t xml:space="preserve">A: Long-term medications used to reduce the frequency of relapses and slow disability progression in MS.</w:t>
      </w:r>
    </w:p>
    <w:p>
      <w:pPr>
        <w:pStyle w:val="BodyText"/>
      </w:pPr>
      <w:r>
        <w:t xml:space="preserve">Q94: Name one</w:t>
      </w:r>
      <w:r>
        <w:t xml:space="preserve"> </w:t>
      </w:r>
      <w:r>
        <w:t xml:space="preserve">“high-efficacy”</w:t>
      </w:r>
      <w:r>
        <w:t xml:space="preserve"> </w:t>
      </w:r>
      <w:r>
        <w:t xml:space="preserve">DMT.</w:t>
      </w:r>
      <w:r>
        <w:t xml:space="preserve"> </w:t>
      </w:r>
      <w:r>
        <w:t xml:space="preserve">A: Ocrelizumab, Natalizumab, or Alemtuzumab.</w:t>
      </w:r>
    </w:p>
    <w:p>
      <w:pPr>
        <w:pStyle w:val="BodyText"/>
      </w:pPr>
      <w:r>
        <w:t xml:space="preserve">Q95: What is the</w:t>
      </w:r>
      <w:r>
        <w:t xml:space="preserve"> </w:t>
      </w:r>
      <w:r>
        <w:t xml:space="preserve">“Clinically Isolated Syndrome”</w:t>
      </w:r>
      <w:r>
        <w:t xml:space="preserve"> </w:t>
      </w:r>
      <w:r>
        <w:t xml:space="preserve">(CIS)?</w:t>
      </w:r>
      <w:r>
        <w:t xml:space="preserve"> </w:t>
      </w:r>
      <w:r>
        <w:t xml:space="preserve">A: A first clinical episode of CNS demyelination that does not yet meet the full McDonald criteria for MS.</w:t>
      </w:r>
    </w:p>
    <w:p>
      <w:pPr>
        <w:pStyle w:val="BodyText"/>
      </w:pPr>
      <w:r>
        <w:t xml:space="preserve">Q96: What is the goal of</w:t>
      </w:r>
      <w:r>
        <w:t xml:space="preserve"> </w:t>
      </w:r>
      <w:r>
        <w:t xml:space="preserve">“NEDA”</w:t>
      </w:r>
      <w:r>
        <w:t xml:space="preserve"> </w:t>
      </w:r>
      <w:r>
        <w:t xml:space="preserve">in MS treatment?</w:t>
      </w:r>
      <w:r>
        <w:t xml:space="preserve"> </w:t>
      </w:r>
      <w:r>
        <w:t xml:space="preserve">A: No Evidence of Disease Activity (no relapses, no new MRI lesions, no disability progression).</w:t>
      </w:r>
    </w:p>
    <w:p>
      <w:pPr>
        <w:pStyle w:val="BodyText"/>
      </w:pPr>
      <w:r>
        <w:t xml:space="preserve">Q97: What is the role of Occupational and Physical Therapy in TM recovery?</w:t>
      </w:r>
      <w:r>
        <w:t xml:space="preserve"> </w:t>
      </w:r>
      <w:r>
        <w:t xml:space="preserve">A: Crucial for mobility training, spasticity management, and ADL adaptation.</w:t>
      </w:r>
    </w:p>
    <w:p>
      <w:pPr>
        <w:pStyle w:val="BodyText"/>
      </w:pPr>
      <w:r>
        <w:t xml:space="preserve">Q98: Can a patient with ON drive?</w:t>
      </w:r>
      <w:r>
        <w:t xml:space="preserve"> </w:t>
      </w:r>
      <w:r>
        <w:t xml:space="preserve">A: They should be advised not to drive until their visual acuity and depth perception have been formally assessed and cleared.</w:t>
      </w:r>
    </w:p>
    <w:p>
      <w:pPr>
        <w:pStyle w:val="BodyText"/>
      </w:pPr>
      <w:r>
        <w:t xml:space="preserve">Q99: What is the follow-up schedule for a new diagnosis of CIS/MS?</w:t>
      </w:r>
      <w:r>
        <w:t xml:space="preserve"> </w:t>
      </w:r>
      <w:r>
        <w:t xml:space="preserve">A: Neurology follow-up within 2-4 weeks, with repeat MRI typically in 3-6 months.</w:t>
      </w:r>
    </w:p>
    <w:p>
      <w:pPr>
        <w:pStyle w:val="BodyText"/>
      </w:pPr>
      <w:r>
        <w:t xml:space="preserve">Q100: What is the most important message for a patient newly diagnosed with ON?</w:t>
      </w:r>
      <w:r>
        <w:t xml:space="preserve"> </w:t>
      </w:r>
      <w:r>
        <w:t xml:space="preserve">A: While it is a serious event, the majority of patients experience significant visual recovery, and modern treatments for MS are highly effective.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2026-04-02T16:14:32Z</dcterms:created>
  <dcterms:modified xsi:type="dcterms:W3CDTF">2026-04-02T16:14:32Z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