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40641b4815fa1b3c5b3991457bd235a58129ce5"/>
    <w:p>
      <w:pPr>
        <w:pStyle w:val="Heading1"/>
      </w:pPr>
      <w:r>
        <w:t xml:space="preserve">Clinical Timeline-Based Narrative: Headache Mimics</w:t>
      </w:r>
    </w:p>
    <w:bookmarkStart w:id="9" w:name="master-case-the-subacute-scalp-pain"/>
    <w:p>
      <w:pPr>
        <w:pStyle w:val="Heading2"/>
      </w:pPr>
      <w:r>
        <w:t xml:space="preserve">Master Case: The Subacute Scalp Pain</w:t>
      </w:r>
    </w:p>
    <w:p>
      <w:pPr>
        <w:pStyle w:val="FirstParagraph"/>
      </w:pPr>
      <w:r>
        <w:rPr>
          <w:b/>
          <w:bCs/>
        </w:rPr>
        <w:t xml:space="preserve">Triage (08:00):</w:t>
      </w:r>
      <w:r>
        <w:t xml:space="preserve"> </w:t>
      </w:r>
      <w:r>
        <w:t xml:space="preserve">A 74-year-old woman presents to the Emergency Department with a 3-week history of a dull, persistent right-sided headache. She describes it as</w:t>
      </w:r>
      <w:r>
        <w:t xml:space="preserve"> </w:t>
      </w:r>
      <w:r>
        <w:t xml:space="preserve">“aching”</w:t>
      </w:r>
      <w:r>
        <w:t xml:space="preserve"> </w:t>
      </w:r>
      <w:r>
        <w:t xml:space="preserve">and mentions that brushing her hair has become surprisingly painful.</w:t>
      </w:r>
    </w:p>
    <w:p>
      <w:pPr>
        <w:pStyle w:val="BodyText"/>
      </w:pPr>
      <w:r>
        <w:rPr>
          <w:b/>
          <w:bCs/>
        </w:rPr>
        <w:t xml:space="preserve">Initial Assessment (08:30):</w:t>
      </w:r>
      <w:r>
        <w:t xml:space="preserve"> </w:t>
      </w:r>
      <w:r>
        <w:t xml:space="preserve">On closer questioning, she reveals that for the last 10 days, her jaw feels</w:t>
      </w:r>
      <w:r>
        <w:t xml:space="preserve"> </w:t>
      </w:r>
      <w:r>
        <w:t xml:space="preserve">“tired”</w:t>
      </w:r>
      <w:r>
        <w:t xml:space="preserve"> </w:t>
      </w:r>
      <w:r>
        <w:t xml:space="preserve">and</w:t>
      </w:r>
      <w:r>
        <w:t xml:space="preserve"> </w:t>
      </w:r>
      <w:r>
        <w:t xml:space="preserve">“crampy”</w:t>
      </w:r>
      <w:r>
        <w:t xml:space="preserve"> </w:t>
      </w:r>
      <w:r>
        <w:t xml:space="preserve">when she eats steak or chewy bread, forcing her to stop mid-meal. This morning, she experienced a 5-minute episode of</w:t>
      </w:r>
      <w:r>
        <w:t xml:space="preserve"> </w:t>
      </w:r>
      <w:r>
        <w:t xml:space="preserve">“curtain-like”</w:t>
      </w:r>
      <w:r>
        <w:t xml:space="preserve"> </w:t>
      </w:r>
      <w:r>
        <w:t xml:space="preserve">blurring in her right eye, which has since resolved.</w:t>
      </w:r>
    </w:p>
    <w:p>
      <w:pPr>
        <w:pStyle w:val="BodyText"/>
      </w:pPr>
      <w:r>
        <w:rPr>
          <w:b/>
          <w:bCs/>
        </w:rPr>
        <w:t xml:space="preserve">Clinical Course (10:00 - 14:00):</w:t>
      </w:r>
      <w:r>
        <w:t xml:space="preserve"> </w:t>
      </w:r>
      <w:r>
        <w:t xml:space="preserve">Physical exam reveals a prominent, non-pulsatile, tender right temporal artery. Visual acuity is 20/20 bilaterally, and fundoscopy is normal. Stat ESR is 95 mm/hr and CRP is 48 mg/L.</w:t>
      </w:r>
    </w:p>
    <w:p>
      <w:pPr>
        <w:pStyle w:val="BodyText"/>
      </w:pPr>
      <w:r>
        <w:rPr>
          <w:b/>
          <w:bCs/>
        </w:rPr>
        <w:t xml:space="preserve">Definitive Care (16:00 onwards):</w:t>
      </w:r>
      <w:r>
        <w:t xml:space="preserve"> </w:t>
      </w:r>
      <w:r>
        <w:t xml:space="preserve">Given the high clinical suspicion of Giant Cell Arteritis (GCA) with transient visual loss (amaurosis fugax), she is started on IV Methylprednisolone 1g daily for 3 days, followed by oral Prednisone 60mg. A temporal artery biopsy is scheduled for within 72 hours.</w:t>
      </w:r>
    </w:p>
    <w:p>
      <w:r>
        <w:pict>
          <v:rect style="width:0;height:1.5pt" o:hralign="center" o:hrstd="t" o:hr="t"/>
        </w:pict>
      </w:r>
    </w:p>
    <w:bookmarkEnd w:id="9"/>
    <w:bookmarkStart w:id="16" w:name="rapid-fire-clinical-questions-answers"/>
    <w:p>
      <w:pPr>
        <w:pStyle w:val="Heading2"/>
      </w:pPr>
      <w:r>
        <w:t xml:space="preserve">Rapid-Fire Clinical Questions &amp; Answers</w:t>
      </w:r>
    </w:p>
    <w:bookmarkStart w:id="10" w:name="Xe06a9c9ca27279ec905237aeab0501d64d62b0c"/>
    <w:p>
      <w:pPr>
        <w:pStyle w:val="Heading3"/>
      </w:pPr>
      <w:r>
        <w:t xml:space="preserve">Q1-Q15: Triage &amp; Initial History (GCA, Jaw Claudication, Visual Changes)</w:t>
      </w:r>
    </w:p>
    <w:p>
      <w:pPr>
        <w:pStyle w:val="FirstParagraph"/>
      </w:pPr>
      <w:r>
        <w:rPr>
          <w:b/>
          <w:bCs/>
        </w:rPr>
        <w:t xml:space="preserve">Q1: What is the classic demographic for Giant Cell Arteritis (GCA)?</w:t>
      </w:r>
      <w:r>
        <w:t xml:space="preserve"> </w:t>
      </w:r>
      <w:r>
        <w:t xml:space="preserve">A: Individuals aged &gt;50, with incidence peaking in the 70s and 80s, more common in females.</w:t>
      </w:r>
    </w:p>
    <w:p>
      <w:pPr>
        <w:pStyle w:val="BodyText"/>
      </w:pPr>
      <w:r>
        <w:rPr>
          <w:b/>
          <w:bCs/>
        </w:rPr>
        <w:t xml:space="preserve">Q2: Define</w:t>
      </w:r>
      <w:r>
        <w:rPr>
          <w:b/>
          <w:bCs/>
        </w:rPr>
        <w:t xml:space="preserve"> </w:t>
      </w:r>
      <w:r>
        <w:rPr>
          <w:b/>
          <w:bCs/>
        </w:rPr>
        <w:t xml:space="preserve">“jaw claudication”</w:t>
      </w:r>
      <w:r>
        <w:rPr>
          <w:b/>
          <w:bCs/>
        </w:rPr>
        <w:t xml:space="preserve"> </w:t>
      </w:r>
      <w:r>
        <w:rPr>
          <w:b/>
          <w:bCs/>
        </w:rPr>
        <w:t xml:space="preserve">in the context of GCA.</w:t>
      </w:r>
      <w:r>
        <w:t xml:space="preserve"> </w:t>
      </w:r>
      <w:r>
        <w:t xml:space="preserve">A: Ischemic pain in the masseter and temporalis muscles during chewing, relieved by rest; it is the most specific symptom for GCA.</w:t>
      </w:r>
    </w:p>
    <w:p>
      <w:pPr>
        <w:pStyle w:val="BodyText"/>
      </w:pPr>
      <w:r>
        <w:rPr>
          <w:b/>
          <w:bCs/>
        </w:rPr>
        <w:t xml:space="preserve">Q3: What does</w:t>
      </w:r>
      <w:r>
        <w:rPr>
          <w:b/>
          <w:bCs/>
        </w:rPr>
        <w:t xml:space="preserve"> </w:t>
      </w:r>
      <w:r>
        <w:rPr>
          <w:b/>
          <w:bCs/>
        </w:rPr>
        <w:t xml:space="preserve">“scalp tenderness”</w:t>
      </w:r>
      <w:r>
        <w:rPr>
          <w:b/>
          <w:bCs/>
        </w:rPr>
        <w:t xml:space="preserve"> </w:t>
      </w:r>
      <w:r>
        <w:rPr>
          <w:b/>
          <w:bCs/>
        </w:rPr>
        <w:t xml:space="preserve">often signify in these patients?</w:t>
      </w:r>
      <w:r>
        <w:t xml:space="preserve"> </w:t>
      </w:r>
      <w:r>
        <w:t xml:space="preserve">A: Ischemia of the scalp due to vasculitis of the superficial temporal artery or its branches.</w:t>
      </w:r>
    </w:p>
    <w:p>
      <w:pPr>
        <w:pStyle w:val="BodyText"/>
      </w:pPr>
      <w:r>
        <w:rPr>
          <w:b/>
          <w:bCs/>
        </w:rPr>
        <w:t xml:space="preserve">Q4: What is the most feared ocular complication of GCA?</w:t>
      </w:r>
      <w:r>
        <w:t xml:space="preserve"> </w:t>
      </w:r>
      <w:r>
        <w:t xml:space="preserve">A: Permanent vision loss due to Anterior Ischemic Optic Neuropathy (AION).</w:t>
      </w:r>
    </w:p>
    <w:p>
      <w:pPr>
        <w:pStyle w:val="BodyText"/>
      </w:pPr>
      <w:r>
        <w:rPr>
          <w:b/>
          <w:bCs/>
        </w:rPr>
        <w:t xml:space="preserve">Q5: Describe</w:t>
      </w:r>
      <w:r>
        <w:rPr>
          <w:b/>
          <w:bCs/>
        </w:rPr>
        <w:t xml:space="preserve"> </w:t>
      </w:r>
      <w:r>
        <w:rPr>
          <w:b/>
          <w:bCs/>
        </w:rPr>
        <w:t xml:space="preserve">“Amaurosis Fugax”</w:t>
      </w:r>
      <w:r>
        <w:rPr>
          <w:b/>
          <w:bCs/>
        </w:rPr>
        <w:t xml:space="preserve"> </w:t>
      </w:r>
      <w:r>
        <w:rPr>
          <w:b/>
          <w:bCs/>
        </w:rPr>
        <w:t xml:space="preserve">in GCA.</w:t>
      </w:r>
      <w:r>
        <w:t xml:space="preserve"> </w:t>
      </w:r>
      <w:r>
        <w:t xml:space="preserve">A: Transient, painless monocular vision loss (often described as a curtain coming down), representing a warning sign of impending permanent blindness.</w:t>
      </w:r>
    </w:p>
    <w:p>
      <w:pPr>
        <w:pStyle w:val="BodyText"/>
      </w:pPr>
      <w:r>
        <w:rPr>
          <w:b/>
          <w:bCs/>
        </w:rPr>
        <w:t xml:space="preserve">Q6: Why is GCA considered a medical emergency?</w:t>
      </w:r>
      <w:r>
        <w:t xml:space="preserve"> </w:t>
      </w:r>
      <w:r>
        <w:t xml:space="preserve">A: Because of the high risk of rapid, irreversible bilateral vision loss if treatment is delayed.</w:t>
      </w:r>
    </w:p>
    <w:p>
      <w:pPr>
        <w:pStyle w:val="BodyText"/>
      </w:pPr>
      <w:r>
        <w:rPr>
          <w:b/>
          <w:bCs/>
        </w:rPr>
        <w:t xml:space="preserve">Q7: What is the association between GCA and Polymyalgia Rheumatica (PMR)?</w:t>
      </w:r>
      <w:r>
        <w:t xml:space="preserve"> </w:t>
      </w:r>
      <w:r>
        <w:t xml:space="preserve">A: About 50% of GCA patients have PMR (stiffness/pain in shoulders/hips), and 15% of PMR patients develop GCA.</w:t>
      </w:r>
    </w:p>
    <w:p>
      <w:pPr>
        <w:pStyle w:val="BodyText"/>
      </w:pPr>
      <w:r>
        <w:rPr>
          <w:b/>
          <w:bCs/>
        </w:rPr>
        <w:t xml:space="preserve">Q8: Can GCA present with a normal temporal artery exam?</w:t>
      </w:r>
      <w:r>
        <w:t xml:space="preserve"> </w:t>
      </w:r>
      <w:r>
        <w:t xml:space="preserve">A: Yes, the absence of artery tenderness or pulselessness does not rule out the diagnosis.</w:t>
      </w:r>
    </w:p>
    <w:p>
      <w:pPr>
        <w:pStyle w:val="BodyText"/>
      </w:pPr>
      <w:r>
        <w:rPr>
          <w:b/>
          <w:bCs/>
        </w:rPr>
        <w:t xml:space="preserve">Q9: What is the pathophysiology of GCA?</w:t>
      </w:r>
      <w:r>
        <w:t xml:space="preserve"> </w:t>
      </w:r>
      <w:r>
        <w:t xml:space="preserve">A: A granulomatous vasculitis involving large and medium-sized arteries, particularly the branches of the carotid artery.</w:t>
      </w:r>
    </w:p>
    <w:p>
      <w:pPr>
        <w:pStyle w:val="BodyText"/>
      </w:pPr>
      <w:r>
        <w:rPr>
          <w:b/>
          <w:bCs/>
        </w:rPr>
        <w:t xml:space="preserve">Q10: What are the constitutional symptoms often associated with GCA?</w:t>
      </w:r>
      <w:r>
        <w:t xml:space="preserve"> </w:t>
      </w:r>
      <w:r>
        <w:t xml:space="preserve">A: Fever, weight loss, night sweats, and malaise.</w:t>
      </w:r>
    </w:p>
    <w:p>
      <w:pPr>
        <w:pStyle w:val="BodyText"/>
      </w:pPr>
      <w:r>
        <w:rPr>
          <w:b/>
          <w:bCs/>
        </w:rPr>
        <w:t xml:space="preserve">Q11: Why is</w:t>
      </w:r>
      <w:r>
        <w:rPr>
          <w:b/>
          <w:bCs/>
        </w:rPr>
        <w:t xml:space="preserve"> </w:t>
      </w:r>
      <w:r>
        <w:rPr>
          <w:b/>
          <w:bCs/>
        </w:rPr>
        <w:t xml:space="preserve">“tongue claudication”</w:t>
      </w:r>
      <w:r>
        <w:rPr>
          <w:b/>
          <w:bCs/>
        </w:rPr>
        <w:t xml:space="preserve"> </w:t>
      </w:r>
      <w:r>
        <w:rPr>
          <w:b/>
          <w:bCs/>
        </w:rPr>
        <w:t xml:space="preserve">or necrosis significant?</w:t>
      </w:r>
      <w:r>
        <w:t xml:space="preserve"> </w:t>
      </w:r>
      <w:r>
        <w:t xml:space="preserve">A: It indicates severe ischemia of the lingual artery and is a rare but highly specific sign of GCA.</w:t>
      </w:r>
    </w:p>
    <w:p>
      <w:pPr>
        <w:pStyle w:val="BodyText"/>
      </w:pPr>
      <w:r>
        <w:rPr>
          <w:b/>
          <w:bCs/>
        </w:rPr>
        <w:t xml:space="preserve">Q12: How does the headache of GCA typically differ from a migraine?</w:t>
      </w:r>
      <w:r>
        <w:t xml:space="preserve"> </w:t>
      </w:r>
      <w:r>
        <w:t xml:space="preserve">A: It is usually subacute, persistent, non-throbbing, and often associated with scalp tenderness in an older patient.</w:t>
      </w:r>
    </w:p>
    <w:p>
      <w:pPr>
        <w:pStyle w:val="BodyText"/>
      </w:pPr>
      <w:r>
        <w:rPr>
          <w:b/>
          <w:bCs/>
        </w:rPr>
        <w:t xml:space="preserve">Q13: Is a high ESR mandatory for the diagnosis of GCA?</w:t>
      </w:r>
      <w:r>
        <w:t xml:space="preserve"> </w:t>
      </w:r>
      <w:r>
        <w:t xml:space="preserve">A: No, up to 10-15% of biopsy-proven GCA cases can have a normal ESR.</w:t>
      </w:r>
    </w:p>
    <w:p>
      <w:pPr>
        <w:pStyle w:val="BodyText"/>
      </w:pPr>
      <w:r>
        <w:rPr>
          <w:b/>
          <w:bCs/>
        </w:rPr>
        <w:t xml:space="preserve">Q14: What is the significance of a</w:t>
      </w:r>
      <w:r>
        <w:rPr>
          <w:b/>
          <w:bCs/>
        </w:rPr>
        <w:t xml:space="preserve"> </w:t>
      </w:r>
      <w:r>
        <w:rPr>
          <w:b/>
          <w:bCs/>
        </w:rPr>
        <w:t xml:space="preserve">“new onset”</w:t>
      </w:r>
      <w:r>
        <w:rPr>
          <w:b/>
          <w:bCs/>
        </w:rPr>
        <w:t xml:space="preserve"> </w:t>
      </w:r>
      <w:r>
        <w:rPr>
          <w:b/>
          <w:bCs/>
        </w:rPr>
        <w:t xml:space="preserve">headache in a patient over 50?</w:t>
      </w:r>
      <w:r>
        <w:t xml:space="preserve"> </w:t>
      </w:r>
      <w:r>
        <w:t xml:space="preserve">A: It is a</w:t>
      </w:r>
      <w:r>
        <w:t xml:space="preserve"> </w:t>
      </w:r>
      <w:r>
        <w:t xml:space="preserve">“red flag”</w:t>
      </w:r>
      <w:r>
        <w:t xml:space="preserve"> </w:t>
      </w:r>
      <w:r>
        <w:t xml:space="preserve">that mandates investigation for GCA, malignancy, or other secondary causes.</w:t>
      </w:r>
    </w:p>
    <w:p>
      <w:pPr>
        <w:pStyle w:val="BodyText"/>
      </w:pPr>
      <w:r>
        <w:rPr>
          <w:b/>
          <w:bCs/>
        </w:rPr>
        <w:t xml:space="preserve">Q15: What visual field defect is most common in AION?</w:t>
      </w:r>
      <w:r>
        <w:t xml:space="preserve"> </w:t>
      </w:r>
      <w:r>
        <w:t xml:space="preserve">A: Altitudinal visual field defect (loss of upper or lower half of vision).</w:t>
      </w:r>
    </w:p>
    <w:bookmarkEnd w:id="10"/>
    <w:bookmarkStart w:id="11" w:name="X2c0e4a52207b383453a519ca5d93c511bffdd34"/>
    <w:p>
      <w:pPr>
        <w:pStyle w:val="Heading3"/>
      </w:pPr>
      <w:r>
        <w:t xml:space="preserve">Q16-Q35: Diagnostic Decision Making (ESR/CRP, Biopsy Timing vs. Steroids)</w:t>
      </w:r>
    </w:p>
    <w:p>
      <w:pPr>
        <w:pStyle w:val="FirstParagraph"/>
      </w:pPr>
      <w:r>
        <w:rPr>
          <w:b/>
          <w:bCs/>
        </w:rPr>
        <w:t xml:space="preserve">Q16: Which inflammatory marker is more sensitive for GCA: ESR or CRP?</w:t>
      </w:r>
      <w:r>
        <w:t xml:space="preserve"> </w:t>
      </w:r>
      <w:r>
        <w:t xml:space="preserve">A: CRP is generally considered slightly more sensitive and less affected by age/anemia than ESR.</w:t>
      </w:r>
    </w:p>
    <w:p>
      <w:pPr>
        <w:pStyle w:val="BodyText"/>
      </w:pPr>
      <w:r>
        <w:rPr>
          <w:b/>
          <w:bCs/>
        </w:rPr>
        <w:t xml:space="preserve">Q17: Should treatment be delayed for a temporal artery biopsy (TAB)?</w:t>
      </w:r>
      <w:r>
        <w:t xml:space="preserve"> </w:t>
      </w:r>
      <w:r>
        <w:t xml:space="preserve">A: Never. Treatment with steroids should begin immediately upon clinical suspicion to prevent vision loss.</w:t>
      </w:r>
    </w:p>
    <w:p>
      <w:pPr>
        <w:pStyle w:val="BodyText"/>
      </w:pPr>
      <w:r>
        <w:rPr>
          <w:b/>
          <w:bCs/>
        </w:rPr>
        <w:t xml:space="preserve">Q18: How long does a TAB remain positive after starting steroids?</w:t>
      </w:r>
      <w:r>
        <w:t xml:space="preserve"> </w:t>
      </w:r>
      <w:r>
        <w:t xml:space="preserve">A: Usually up to 2 weeks, although some findings can persist for weeks to months.</w:t>
      </w:r>
    </w:p>
    <w:p>
      <w:pPr>
        <w:pStyle w:val="BodyText"/>
      </w:pPr>
      <w:r>
        <w:rPr>
          <w:b/>
          <w:bCs/>
        </w:rPr>
        <w:t xml:space="preserve">Q19: What is the recommended length for a TAB specimen?</w:t>
      </w:r>
      <w:r>
        <w:t xml:space="preserve"> </w:t>
      </w:r>
      <w:r>
        <w:t xml:space="preserve">A: At least 1-2 cm, due to the presence of</w:t>
      </w:r>
      <w:r>
        <w:t xml:space="preserve"> </w:t>
      </w:r>
      <w:r>
        <w:t xml:space="preserve">“skip lesions”</w:t>
      </w:r>
      <w:r>
        <w:t xml:space="preserve"> </w:t>
      </w:r>
      <w:r>
        <w:t xml:space="preserve">(patchy involvement of the artery).</w:t>
      </w:r>
    </w:p>
    <w:p>
      <w:pPr>
        <w:pStyle w:val="BodyText"/>
      </w:pPr>
      <w:r>
        <w:rPr>
          <w:b/>
          <w:bCs/>
        </w:rPr>
        <w:t xml:space="preserve">Q20: What is the</w:t>
      </w:r>
      <w:r>
        <w:rPr>
          <w:b/>
          <w:bCs/>
        </w:rPr>
        <w:t xml:space="preserve"> </w:t>
      </w:r>
      <w:r>
        <w:rPr>
          <w:b/>
          <w:bCs/>
        </w:rPr>
        <w:t xml:space="preserve">“skip lesion”</w:t>
      </w:r>
      <w:r>
        <w:rPr>
          <w:b/>
          <w:bCs/>
        </w:rPr>
        <w:t xml:space="preserve"> </w:t>
      </w:r>
      <w:r>
        <w:rPr>
          <w:b/>
          <w:bCs/>
        </w:rPr>
        <w:t xml:space="preserve">phenomenon?</w:t>
      </w:r>
      <w:r>
        <w:t xml:space="preserve"> </w:t>
      </w:r>
      <w:r>
        <w:t xml:space="preserve">A: Areas of vasculitis interspersed with normal arterial segments, necessitating a long biopsy segment.</w:t>
      </w:r>
    </w:p>
    <w:p>
      <w:pPr>
        <w:pStyle w:val="BodyText"/>
      </w:pPr>
      <w:r>
        <w:rPr>
          <w:b/>
          <w:bCs/>
        </w:rPr>
        <w:t xml:space="preserve">Q21: What are the classic histological findings in GCA?</w:t>
      </w:r>
      <w:r>
        <w:t xml:space="preserve"> </w:t>
      </w:r>
      <w:r>
        <w:t xml:space="preserve">A: Multinucleated giant cells, internal elastic lamina fragmentation, and pan-arteritis.</w:t>
      </w:r>
    </w:p>
    <w:p>
      <w:pPr>
        <w:pStyle w:val="BodyText"/>
      </w:pPr>
      <w:r>
        <w:rPr>
          <w:b/>
          <w:bCs/>
        </w:rPr>
        <w:t xml:space="preserve">Q22: What role does Ultrasound play in GCA diagnosis?</w:t>
      </w:r>
      <w:r>
        <w:t xml:space="preserve"> </w:t>
      </w:r>
      <w:r>
        <w:t xml:space="preserve">A: The</w:t>
      </w:r>
      <w:r>
        <w:t xml:space="preserve"> </w:t>
      </w:r>
      <w:r>
        <w:t xml:space="preserve">“Halo sign”</w:t>
      </w:r>
      <w:r>
        <w:t xml:space="preserve"> </w:t>
      </w:r>
      <w:r>
        <w:t xml:space="preserve">(hypoechoic vessel wall edema) on temporal artery ultrasound is highly suggestive.</w:t>
      </w:r>
    </w:p>
    <w:p>
      <w:pPr>
        <w:pStyle w:val="BodyText"/>
      </w:pPr>
      <w:r>
        <w:rPr>
          <w:b/>
          <w:bCs/>
        </w:rPr>
        <w:t xml:space="preserve">Q23: When is IV Methylprednisolone indicated over oral Prednisone?</w:t>
      </w:r>
      <w:r>
        <w:t xml:space="preserve"> </w:t>
      </w:r>
      <w:r>
        <w:t xml:space="preserve">A: When there is acute visual loss or transient visual symptoms (threatened vision).</w:t>
      </w:r>
    </w:p>
    <w:p>
      <w:pPr>
        <w:pStyle w:val="BodyText"/>
      </w:pPr>
      <w:r>
        <w:rPr>
          <w:b/>
          <w:bCs/>
        </w:rPr>
        <w:t xml:space="preserve">Q24: What is the standard dose for oral Prednisone in GCA without visual loss?</w:t>
      </w:r>
      <w:r>
        <w:t xml:space="preserve"> </w:t>
      </w:r>
      <w:r>
        <w:t xml:space="preserve">A: 40-60 mg per day.</w:t>
      </w:r>
    </w:p>
    <w:p>
      <w:pPr>
        <w:pStyle w:val="BodyText"/>
      </w:pPr>
      <w:r>
        <w:rPr>
          <w:b/>
          <w:bCs/>
        </w:rPr>
        <w:t xml:space="preserve">Q25: What is the role of PET-CT in GCA?</w:t>
      </w:r>
      <w:r>
        <w:t xml:space="preserve"> </w:t>
      </w:r>
      <w:r>
        <w:t xml:space="preserve">A: It is useful for detecting large-vessel GCA (aortitis) which might be missed by TAB.</w:t>
      </w:r>
    </w:p>
    <w:p>
      <w:pPr>
        <w:pStyle w:val="BodyText"/>
      </w:pPr>
      <w:r>
        <w:rPr>
          <w:b/>
          <w:bCs/>
        </w:rPr>
        <w:t xml:space="preserve">Q26: Can a negative unilateral TAB rule out GCA?</w:t>
      </w:r>
      <w:r>
        <w:t xml:space="preserve"> </w:t>
      </w:r>
      <w:r>
        <w:t xml:space="preserve">A: No, because of skip lesions or contralateral involvement; if suspicion remains high, a contralateral biopsy or imaging may be needed.</w:t>
      </w:r>
    </w:p>
    <w:p>
      <w:pPr>
        <w:pStyle w:val="BodyText"/>
      </w:pPr>
      <w:r>
        <w:rPr>
          <w:b/>
          <w:bCs/>
        </w:rPr>
        <w:t xml:space="preserve">Q27: What is the</w:t>
      </w:r>
      <w:r>
        <w:rPr>
          <w:b/>
          <w:bCs/>
        </w:rPr>
        <w:t xml:space="preserve"> </w:t>
      </w:r>
      <w:r>
        <w:rPr>
          <w:b/>
          <w:bCs/>
        </w:rPr>
        <w:t xml:space="preserve">“Halo sign”</w:t>
      </w:r>
      <w:r>
        <w:rPr>
          <w:b/>
          <w:bCs/>
        </w:rPr>
        <w:t xml:space="preserve"> </w:t>
      </w:r>
      <w:r>
        <w:rPr>
          <w:b/>
          <w:bCs/>
        </w:rPr>
        <w:t xml:space="preserve">specificity?</w:t>
      </w:r>
      <w:r>
        <w:t xml:space="preserve"> </w:t>
      </w:r>
      <w:r>
        <w:t xml:space="preserve">A: Highly specific (~90-100%) in the hands of an experienced sonographer.</w:t>
      </w:r>
    </w:p>
    <w:p>
      <w:pPr>
        <w:pStyle w:val="BodyText"/>
      </w:pPr>
      <w:r>
        <w:rPr>
          <w:b/>
          <w:bCs/>
        </w:rPr>
        <w:t xml:space="preserve">Q28: How does anemia of chronic disease relate to GCA?</w:t>
      </w:r>
      <w:r>
        <w:t xml:space="preserve"> </w:t>
      </w:r>
      <w:r>
        <w:t xml:space="preserve">A: Many patients have a normochromic normocytic anemia due to chronic inflammation.</w:t>
      </w:r>
    </w:p>
    <w:p>
      <w:pPr>
        <w:pStyle w:val="BodyText"/>
      </w:pPr>
      <w:r>
        <w:rPr>
          <w:b/>
          <w:bCs/>
        </w:rPr>
        <w:t xml:space="preserve">Q29: What other labs should be checked to rule out mimics?</w:t>
      </w:r>
      <w:r>
        <w:t xml:space="preserve"> </w:t>
      </w:r>
      <w:r>
        <w:t xml:space="preserve">A: CBC, LFTs (alkaline phosphatase can be elevated), and Renal function.</w:t>
      </w:r>
    </w:p>
    <w:p>
      <w:pPr>
        <w:pStyle w:val="BodyText"/>
      </w:pPr>
      <w:r>
        <w:rPr>
          <w:b/>
          <w:bCs/>
        </w:rPr>
        <w:t xml:space="preserve">Q30: Why is aspirin sometimes added to GCA treatment?</w:t>
      </w:r>
      <w:r>
        <w:t xml:space="preserve"> </w:t>
      </w:r>
      <w:r>
        <w:t xml:space="preserve">A: To potentially reduce the risk of ischemic stroke and visual loss, though its benefit is debated.</w:t>
      </w:r>
    </w:p>
    <w:p>
      <w:pPr>
        <w:pStyle w:val="BodyText"/>
      </w:pPr>
      <w:r>
        <w:rPr>
          <w:b/>
          <w:bCs/>
        </w:rPr>
        <w:t xml:space="preserve">Q31: What is the role of Tocilizumab in GCA?</w:t>
      </w:r>
      <w:r>
        <w:t xml:space="preserve"> </w:t>
      </w:r>
      <w:r>
        <w:t xml:space="preserve">A: It is an IL-6 receptor antagonist used as a steroid-sparing agent, especially in patients with high risk of steroid side effects.</w:t>
      </w:r>
    </w:p>
    <w:p>
      <w:pPr>
        <w:pStyle w:val="BodyText"/>
      </w:pPr>
      <w:r>
        <w:rPr>
          <w:b/>
          <w:bCs/>
        </w:rPr>
        <w:t xml:space="preserve">Q32: How quickly does the headache usually respond to steroids?</w:t>
      </w:r>
      <w:r>
        <w:t xml:space="preserve"> </w:t>
      </w:r>
      <w:r>
        <w:t xml:space="preserve">A: Characteristically, within 24-72 hours. Failure to respond should prompt reconsideration of the diagnosis.</w:t>
      </w:r>
    </w:p>
    <w:p>
      <w:pPr>
        <w:pStyle w:val="BodyText"/>
      </w:pPr>
      <w:r>
        <w:rPr>
          <w:b/>
          <w:bCs/>
        </w:rPr>
        <w:t xml:space="preserve">Q33: Is the biopsy always necessary if the ultrasound is positive?</w:t>
      </w:r>
      <w:r>
        <w:t xml:space="preserve"> </w:t>
      </w:r>
      <w:r>
        <w:t xml:space="preserve">A: In some European guidelines, a positive ultrasound in a high-probability patient is sufficient, but TAB remains the gold standard in many centers.</w:t>
      </w:r>
    </w:p>
    <w:p>
      <w:pPr>
        <w:pStyle w:val="BodyText"/>
      </w:pPr>
      <w:r>
        <w:rPr>
          <w:b/>
          <w:bCs/>
        </w:rPr>
        <w:t xml:space="preserve">Q34: What are the risks of TAB?</w:t>
      </w:r>
      <w:r>
        <w:t xml:space="preserve"> </w:t>
      </w:r>
      <w:r>
        <w:t xml:space="preserve">A: Hematoma, infection, and very rarely, injury to the facial nerve or scalp necrosis.</w:t>
      </w:r>
    </w:p>
    <w:p>
      <w:pPr>
        <w:pStyle w:val="BodyText"/>
      </w:pPr>
      <w:r>
        <w:rPr>
          <w:b/>
          <w:bCs/>
        </w:rPr>
        <w:t xml:space="preserve">Q35: What is the ACR (American College of Rheumatology) criteria for GCA?</w:t>
      </w:r>
      <w:r>
        <w:t xml:space="preserve"> </w:t>
      </w:r>
      <w:r>
        <w:t xml:space="preserve">A: Age &gt;50, new headache, temporal artery abnormality, ESR &gt;50, and abnormal artery biopsy (3 out of 5 required).</w:t>
      </w:r>
    </w:p>
    <w:bookmarkEnd w:id="11"/>
    <w:bookmarkStart w:id="12" w:name="X1372b26abe9e4a1c990352a72c436afc19227da"/>
    <w:p>
      <w:pPr>
        <w:pStyle w:val="Heading3"/>
      </w:pPr>
      <w:r>
        <w:t xml:space="preserve">Q36-Q55: Specific Mimics (IIH - Dandy Criteria, Opening Pressure on LP)</w:t>
      </w:r>
    </w:p>
    <w:p>
      <w:pPr>
        <w:pStyle w:val="FirstParagraph"/>
      </w:pPr>
      <w:r>
        <w:rPr>
          <w:b/>
          <w:bCs/>
        </w:rPr>
        <w:t xml:space="preserve">Q36: What is Idiopathic Intracranial Hypertension (IIH)?</w:t>
      </w:r>
      <w:r>
        <w:t xml:space="preserve"> </w:t>
      </w:r>
      <w:r>
        <w:t xml:space="preserve">A: Increased intracranial pressure (ICP) without an identifiable cause (e.g., tumor or venous thrombosis).</w:t>
      </w:r>
    </w:p>
    <w:p>
      <w:pPr>
        <w:pStyle w:val="BodyText"/>
      </w:pPr>
      <w:r>
        <w:rPr>
          <w:b/>
          <w:bCs/>
        </w:rPr>
        <w:t xml:space="preserve">Q37: What is the classic patient profile for IIH?</w:t>
      </w:r>
      <w:r>
        <w:t xml:space="preserve"> </w:t>
      </w:r>
      <w:r>
        <w:t xml:space="preserve">A: Overweight females of childbearing age.</w:t>
      </w:r>
    </w:p>
    <w:p>
      <w:pPr>
        <w:pStyle w:val="BodyText"/>
      </w:pPr>
      <w:r>
        <w:rPr>
          <w:b/>
          <w:bCs/>
        </w:rPr>
        <w:t xml:space="preserve">Q38: List the modified Dandy Criteria for IIH.</w:t>
      </w:r>
      <w:r>
        <w:t xml:space="preserve"> </w:t>
      </w:r>
      <w:r>
        <w:t xml:space="preserve">A: 1. Symptoms of increased ICP. 2. No focal neuro signs (except CN VI palsy). 3. Normal neuroimaging (except signs of high ICP). 4. High opening pressure on LP with normal CSF constituents. 5. No other cause found.</w:t>
      </w:r>
    </w:p>
    <w:p>
      <w:pPr>
        <w:pStyle w:val="BodyText"/>
      </w:pPr>
      <w:r>
        <w:rPr>
          <w:b/>
          <w:bCs/>
        </w:rPr>
        <w:t xml:space="preserve">Q39: What is a normal CSF opening pressure in adults?</w:t>
      </w:r>
      <w:r>
        <w:t xml:space="preserve"> </w:t>
      </w:r>
      <w:r>
        <w:t xml:space="preserve">A: Usually 10-20 cm H2O; &gt;25 cm H2O is diagnostic for IIH.</w:t>
      </w:r>
    </w:p>
    <w:p>
      <w:pPr>
        <w:pStyle w:val="BodyText"/>
      </w:pPr>
      <w:r>
        <w:rPr>
          <w:b/>
          <w:bCs/>
        </w:rPr>
        <w:t xml:space="preserve">Q40: What are the symptoms of IIH?</w:t>
      </w:r>
      <w:r>
        <w:t xml:space="preserve"> </w:t>
      </w:r>
      <w:r>
        <w:t xml:space="preserve">A: Headache (often worse with Valsalva), transient visual obscurations, pulse-synchronous tinnitus (whooshing), and diplopia.</w:t>
      </w:r>
    </w:p>
    <w:p>
      <w:pPr>
        <w:pStyle w:val="BodyText"/>
      </w:pPr>
      <w:r>
        <w:rPr>
          <w:b/>
          <w:bCs/>
        </w:rPr>
        <w:t xml:space="preserve">Q41: What is</w:t>
      </w:r>
      <w:r>
        <w:rPr>
          <w:b/>
          <w:bCs/>
        </w:rPr>
        <w:t xml:space="preserve"> </w:t>
      </w:r>
      <w:r>
        <w:rPr>
          <w:b/>
          <w:bCs/>
        </w:rPr>
        <w:t xml:space="preserve">“Pulse-Synchronous Tinnitus”</w:t>
      </w:r>
      <w:r>
        <w:rPr>
          <w:b/>
          <w:bCs/>
        </w:rPr>
        <w:t xml:space="preserve">?</w:t>
      </w:r>
      <w:r>
        <w:t xml:space="preserve"> </w:t>
      </w:r>
      <w:r>
        <w:t xml:space="preserve">A: A rhythmic whooshing sound in the ears that matches the heartbeat, common in IIH.</w:t>
      </w:r>
    </w:p>
    <w:p>
      <w:pPr>
        <w:pStyle w:val="BodyText"/>
      </w:pPr>
      <w:r>
        <w:rPr>
          <w:b/>
          <w:bCs/>
        </w:rPr>
        <w:t xml:space="preserve">Q42: Which cranial nerve is most commonly affected in IIH?</w:t>
      </w:r>
      <w:r>
        <w:t xml:space="preserve"> </w:t>
      </w:r>
      <w:r>
        <w:t xml:space="preserve">A: Cranial Nerve VI (Abducens), leading to horizontal diplopia.</w:t>
      </w:r>
    </w:p>
    <w:p>
      <w:pPr>
        <w:pStyle w:val="BodyText"/>
      </w:pPr>
      <w:r>
        <w:rPr>
          <w:b/>
          <w:bCs/>
        </w:rPr>
        <w:t xml:space="preserve">Q43: What are the neuroimaging signs of IIH?</w:t>
      </w:r>
      <w:r>
        <w:t xml:space="preserve"> </w:t>
      </w:r>
      <w:r>
        <w:t xml:space="preserve">A: Empty sella, optic nerve sheath fenestration, posterior globe flattening, and transverse venous sinus stenosis.</w:t>
      </w:r>
    </w:p>
    <w:p>
      <w:pPr>
        <w:pStyle w:val="BodyText"/>
      </w:pPr>
      <w:r>
        <w:rPr>
          <w:b/>
          <w:bCs/>
        </w:rPr>
        <w:t xml:space="preserve">Q44: What is the primary goal of IIH treatment?</w:t>
      </w:r>
      <w:r>
        <w:t xml:space="preserve"> </w:t>
      </w:r>
      <w:r>
        <w:t xml:space="preserve">A: To preserve vision and manage headache.</w:t>
      </w:r>
    </w:p>
    <w:p>
      <w:pPr>
        <w:pStyle w:val="BodyText"/>
      </w:pPr>
      <w:r>
        <w:rPr>
          <w:b/>
          <w:bCs/>
        </w:rPr>
        <w:t xml:space="preserve">Q45: What is the first-line medication for IIH?</w:t>
      </w:r>
      <w:r>
        <w:t xml:space="preserve"> </w:t>
      </w:r>
      <w:r>
        <w:t xml:space="preserve">A: Acetazolamide (carbonic anhydrase inhibitor).</w:t>
      </w:r>
    </w:p>
    <w:p>
      <w:pPr>
        <w:pStyle w:val="BodyText"/>
      </w:pPr>
      <w:r>
        <w:rPr>
          <w:b/>
          <w:bCs/>
        </w:rPr>
        <w:t xml:space="preserve">Q46: How does Acetazolamide work in IIH?</w:t>
      </w:r>
      <w:r>
        <w:t xml:space="preserve"> </w:t>
      </w:r>
      <w:r>
        <w:t xml:space="preserve">A: It decreases CSF production by the choroid plexus.</w:t>
      </w:r>
    </w:p>
    <w:p>
      <w:pPr>
        <w:pStyle w:val="BodyText"/>
      </w:pPr>
      <w:r>
        <w:rPr>
          <w:b/>
          <w:bCs/>
        </w:rPr>
        <w:t xml:space="preserve">Q47: When is surgery indicated for IIH?</w:t>
      </w:r>
      <w:r>
        <w:t xml:space="preserve"> </w:t>
      </w:r>
      <w:r>
        <w:t xml:space="preserve">A: When there is progressive visual loss despite maximal medical therapy.</w:t>
      </w:r>
    </w:p>
    <w:p>
      <w:pPr>
        <w:pStyle w:val="BodyText"/>
      </w:pPr>
      <w:r>
        <w:rPr>
          <w:b/>
          <w:bCs/>
        </w:rPr>
        <w:t xml:space="preserve">Q48: What surgical options exist for IIH?</w:t>
      </w:r>
      <w:r>
        <w:t xml:space="preserve"> </w:t>
      </w:r>
      <w:r>
        <w:t xml:space="preserve">A: Optic nerve sheath fenestration (ONSF) or CSF shunting (Lumboperitoneal or Ventriculoperitoneal).</w:t>
      </w:r>
    </w:p>
    <w:p>
      <w:pPr>
        <w:pStyle w:val="BodyText"/>
      </w:pPr>
      <w:r>
        <w:rPr>
          <w:b/>
          <w:bCs/>
        </w:rPr>
        <w:t xml:space="preserve">Q49: What is the role of weight loss in IIH?</w:t>
      </w:r>
      <w:r>
        <w:t xml:space="preserve"> </w:t>
      </w:r>
      <w:r>
        <w:t xml:space="preserve">A: It is the only treatment shown to potentially cure the condition by reducing intra-abdominal and thus intracranial pressure.</w:t>
      </w:r>
    </w:p>
    <w:p>
      <w:pPr>
        <w:pStyle w:val="BodyText"/>
      </w:pPr>
      <w:r>
        <w:rPr>
          <w:b/>
          <w:bCs/>
        </w:rPr>
        <w:t xml:space="preserve">Q50: Can certain medications trigger IIH?</w:t>
      </w:r>
      <w:r>
        <w:t xml:space="preserve"> </w:t>
      </w:r>
      <w:r>
        <w:t xml:space="preserve">A: Yes, such as Tetracyclines, Vitamin A derivatives (Isotretinoin), and Growth Hormone.</w:t>
      </w:r>
    </w:p>
    <w:p>
      <w:pPr>
        <w:pStyle w:val="BodyText"/>
      </w:pPr>
      <w:r>
        <w:rPr>
          <w:b/>
          <w:bCs/>
        </w:rPr>
        <w:t xml:space="preserve">Q51: What must be ruled out before diagnosing IIH?</w:t>
      </w:r>
      <w:r>
        <w:t xml:space="preserve"> </w:t>
      </w:r>
      <w:r>
        <w:t xml:space="preserve">A: Cerebral Venous Sinus Thrombosis (CVST).</w:t>
      </w:r>
    </w:p>
    <w:p>
      <w:pPr>
        <w:pStyle w:val="BodyText"/>
      </w:pPr>
      <w:r>
        <w:rPr>
          <w:b/>
          <w:bCs/>
        </w:rPr>
        <w:t xml:space="preserve">Q52: Is papilledema always present in IIH?</w:t>
      </w:r>
      <w:r>
        <w:t xml:space="preserve"> </w:t>
      </w:r>
      <w:r>
        <w:t xml:space="preserve">A: No,</w:t>
      </w:r>
      <w:r>
        <w:t xml:space="preserve"> </w:t>
      </w:r>
      <w:r>
        <w:t xml:space="preserve">“IIH without papilledema”</w:t>
      </w:r>
      <w:r>
        <w:t xml:space="preserve"> </w:t>
      </w:r>
      <w:r>
        <w:t xml:space="preserve">(IIHWOP) exists but is rarer and harder to diagnose.</w:t>
      </w:r>
    </w:p>
    <w:p>
      <w:pPr>
        <w:pStyle w:val="BodyText"/>
      </w:pPr>
      <w:r>
        <w:rPr>
          <w:b/>
          <w:bCs/>
        </w:rPr>
        <w:t xml:space="preserve">Q53: How is the headache of IIH typically described?</w:t>
      </w:r>
      <w:r>
        <w:t xml:space="preserve"> </w:t>
      </w:r>
      <w:r>
        <w:t xml:space="preserve">A: Often daily, pressure-like, and may be worse in the morning or with lying down.</w:t>
      </w:r>
    </w:p>
    <w:p>
      <w:pPr>
        <w:pStyle w:val="BodyText"/>
      </w:pPr>
      <w:r>
        <w:rPr>
          <w:b/>
          <w:bCs/>
        </w:rPr>
        <w:t xml:space="preserve">Q54: What is a</w:t>
      </w:r>
      <w:r>
        <w:rPr>
          <w:b/>
          <w:bCs/>
        </w:rPr>
        <w:t xml:space="preserve"> </w:t>
      </w:r>
      <w:r>
        <w:rPr>
          <w:b/>
          <w:bCs/>
        </w:rPr>
        <w:t xml:space="preserve">“Transient Visual Obscuration”</w:t>
      </w:r>
      <w:r>
        <w:rPr>
          <w:b/>
          <w:bCs/>
        </w:rPr>
        <w:t xml:space="preserve">?</w:t>
      </w:r>
      <w:r>
        <w:t xml:space="preserve"> </w:t>
      </w:r>
      <w:r>
        <w:t xml:space="preserve">A: Brief episodes of blurred or lost vision (seconds) often triggered by changes in posture.</w:t>
      </w:r>
    </w:p>
    <w:p>
      <w:pPr>
        <w:pStyle w:val="BodyText"/>
      </w:pPr>
      <w:r>
        <w:rPr>
          <w:b/>
          <w:bCs/>
        </w:rPr>
        <w:t xml:space="preserve">Q55: Why should steroids NOT be used long-term for IIH?</w:t>
      </w:r>
      <w:r>
        <w:t xml:space="preserve"> </w:t>
      </w:r>
      <w:r>
        <w:t xml:space="preserve">A: They can cause weight gain and rebound intracranial hypertension upon withdrawal.</w:t>
      </w:r>
    </w:p>
    <w:bookmarkEnd w:id="12"/>
    <w:bookmarkStart w:id="13" w:name="X8f2b087b4dc85c2916d44d7db430b937245ec73"/>
    <w:p>
      <w:pPr>
        <w:pStyle w:val="Heading3"/>
      </w:pPr>
      <w:r>
        <w:t xml:space="preserve">Q56-Q75: Environmental &amp; Chronic Mimics (Carbon Monoxide, Cluster Headache)</w:t>
      </w:r>
    </w:p>
    <w:p>
      <w:pPr>
        <w:pStyle w:val="FirstParagraph"/>
      </w:pPr>
      <w:r>
        <w:rPr>
          <w:b/>
          <w:bCs/>
        </w:rPr>
        <w:t xml:space="preserve">Q56: Why is Carbon Monoxide (CO) poisoning a headache mimic?</w:t>
      </w:r>
      <w:r>
        <w:t xml:space="preserve"> </w:t>
      </w:r>
      <w:r>
        <w:t xml:space="preserve">A: It presents with a dull, frontal, continuous headache that can be mistaken for tension headache or flu.</w:t>
      </w:r>
    </w:p>
    <w:p>
      <w:pPr>
        <w:pStyle w:val="BodyText"/>
      </w:pPr>
      <w:r>
        <w:rPr>
          <w:b/>
          <w:bCs/>
        </w:rPr>
        <w:t xml:space="preserve">Q57: What is the pathophysiology of CO toxicity?</w:t>
      </w:r>
      <w:r>
        <w:t xml:space="preserve"> </w:t>
      </w:r>
      <w:r>
        <w:t xml:space="preserve">A: CO has &gt;200x affinity for hemoglobin than oxygen, forming carboxyhemoglobin (COHb) and shifting the oxygen-dissociation curve to the left.</w:t>
      </w:r>
    </w:p>
    <w:p>
      <w:pPr>
        <w:pStyle w:val="BodyText"/>
      </w:pPr>
      <w:r>
        <w:rPr>
          <w:b/>
          <w:bCs/>
        </w:rPr>
        <w:t xml:space="preserve">Q58: What are the classic</w:t>
      </w:r>
      <w:r>
        <w:rPr>
          <w:b/>
          <w:bCs/>
        </w:rPr>
        <w:t xml:space="preserve"> </w:t>
      </w:r>
      <w:r>
        <w:rPr>
          <w:b/>
          <w:bCs/>
        </w:rPr>
        <w:t xml:space="preserve">“cherry red”</w:t>
      </w:r>
      <w:r>
        <w:rPr>
          <w:b/>
          <w:bCs/>
        </w:rPr>
        <w:t xml:space="preserve"> </w:t>
      </w:r>
      <w:r>
        <w:rPr>
          <w:b/>
          <w:bCs/>
        </w:rPr>
        <w:t xml:space="preserve">lips in CO poisoning?</w:t>
      </w:r>
      <w:r>
        <w:t xml:space="preserve"> </w:t>
      </w:r>
      <w:r>
        <w:t xml:space="preserve">A: A rare, late, and often post-mortem finding; not reliable for clinical diagnosis.</w:t>
      </w:r>
    </w:p>
    <w:p>
      <w:pPr>
        <w:pStyle w:val="BodyText"/>
      </w:pPr>
      <w:r>
        <w:rPr>
          <w:b/>
          <w:bCs/>
        </w:rPr>
        <w:t xml:space="preserve">Q59: How is CO poisoning diagnosed?</w:t>
      </w:r>
      <w:r>
        <w:t xml:space="preserve"> </w:t>
      </w:r>
      <w:r>
        <w:t xml:space="preserve">A: Measurement of COHb levels via arterial or venous blood gas (standard pulse oximetry is unreliable).</w:t>
      </w:r>
    </w:p>
    <w:p>
      <w:pPr>
        <w:pStyle w:val="BodyText"/>
      </w:pPr>
      <w:r>
        <w:rPr>
          <w:b/>
          <w:bCs/>
        </w:rPr>
        <w:t xml:space="preserve">Q60: Why is standard pulse oximetry (SpO2) misleading in CO poisoning?</w:t>
      </w:r>
      <w:r>
        <w:t xml:space="preserve"> </w:t>
      </w:r>
      <w:r>
        <w:t xml:space="preserve">A: The pulse oximeter cannot distinguish between oxyhemoglobin and carboxyhemoglobin, giving a falsely high reading.</w:t>
      </w:r>
    </w:p>
    <w:p>
      <w:pPr>
        <w:pStyle w:val="BodyText"/>
      </w:pPr>
      <w:r>
        <w:rPr>
          <w:b/>
          <w:bCs/>
        </w:rPr>
        <w:t xml:space="preserve">Q61: What is the half-life of COHb on room air vs. 100% O2?</w:t>
      </w:r>
      <w:r>
        <w:t xml:space="preserve"> </w:t>
      </w:r>
      <w:r>
        <w:t xml:space="preserve">A: Room air: 4-6 hours; 100% O2: 60-90 minutes.</w:t>
      </w:r>
    </w:p>
    <w:p>
      <w:pPr>
        <w:pStyle w:val="BodyText"/>
      </w:pPr>
      <w:r>
        <w:rPr>
          <w:b/>
          <w:bCs/>
        </w:rPr>
        <w:t xml:space="preserve">Q62: What are the indications for Hyperbaric Oxygen (HBO) therapy in CO poisoning?</w:t>
      </w:r>
      <w:r>
        <w:t xml:space="preserve"> </w:t>
      </w:r>
      <w:r>
        <w:t xml:space="preserve">A: COHb &gt;25% (&gt;15% in pregnancy), loss of consciousness, altered mental status, metabolic acidosis, or evidence of cardiac ischemia.</w:t>
      </w:r>
    </w:p>
    <w:p>
      <w:pPr>
        <w:pStyle w:val="BodyText"/>
      </w:pPr>
      <w:r>
        <w:rPr>
          <w:b/>
          <w:bCs/>
        </w:rPr>
        <w:t xml:space="preserve">Q63: What are the chronic neuro sequelae of CO poisoning?</w:t>
      </w:r>
      <w:r>
        <w:t xml:space="preserve"> </w:t>
      </w:r>
      <w:r>
        <w:t xml:space="preserve">A: Delayed Neuropsychiatric Syndrome (DNS), occurring days to weeks after recovery.</w:t>
      </w:r>
    </w:p>
    <w:p>
      <w:pPr>
        <w:pStyle w:val="BodyText"/>
      </w:pPr>
      <w:r>
        <w:rPr>
          <w:b/>
          <w:bCs/>
        </w:rPr>
        <w:t xml:space="preserve">Q64: Describe the clinical features of Cluster Headache.</w:t>
      </w:r>
      <w:r>
        <w:t xml:space="preserve"> </w:t>
      </w:r>
      <w:r>
        <w:t xml:space="preserve">A: Severe, unilateral, periorbital pain lasting 15-180 minutes, associated with ipsilateral autonomic symptoms.</w:t>
      </w:r>
    </w:p>
    <w:p>
      <w:pPr>
        <w:pStyle w:val="BodyText"/>
      </w:pPr>
      <w:r>
        <w:rPr>
          <w:b/>
          <w:bCs/>
        </w:rPr>
        <w:t xml:space="preserve">Q65: What are the autonomic symptoms of Cluster Headache?</w:t>
      </w:r>
      <w:r>
        <w:t xml:space="preserve"> </w:t>
      </w:r>
      <w:r>
        <w:t xml:space="preserve">A: Lacrimation, rhinorrhea, nasal congestion, miosis, ptosis, and eyelid edema.</w:t>
      </w:r>
    </w:p>
    <w:p>
      <w:pPr>
        <w:pStyle w:val="BodyText"/>
      </w:pPr>
      <w:r>
        <w:rPr>
          <w:b/>
          <w:bCs/>
        </w:rPr>
        <w:t xml:space="preserve">Q66: What is the</w:t>
      </w:r>
      <w:r>
        <w:rPr>
          <w:b/>
          <w:bCs/>
        </w:rPr>
        <w:t xml:space="preserve"> </w:t>
      </w:r>
      <w:r>
        <w:rPr>
          <w:b/>
          <w:bCs/>
        </w:rPr>
        <w:t xml:space="preserve">“circadian periodicity”</w:t>
      </w:r>
      <w:r>
        <w:rPr>
          <w:b/>
          <w:bCs/>
        </w:rPr>
        <w:t xml:space="preserve"> </w:t>
      </w:r>
      <w:r>
        <w:rPr>
          <w:b/>
          <w:bCs/>
        </w:rPr>
        <w:t xml:space="preserve">of Cluster Headache?</w:t>
      </w:r>
      <w:r>
        <w:t xml:space="preserve"> </w:t>
      </w:r>
      <w:r>
        <w:t xml:space="preserve">A: Attacks often occur at the same time each day (the</w:t>
      </w:r>
      <w:r>
        <w:t xml:space="preserve"> </w:t>
      </w:r>
      <w:r>
        <w:t xml:space="preserve">“alarm clock”</w:t>
      </w:r>
      <w:r>
        <w:t xml:space="preserve"> </w:t>
      </w:r>
      <w:r>
        <w:t xml:space="preserve">headache), frequently during REM sleep.</w:t>
      </w:r>
    </w:p>
    <w:p>
      <w:pPr>
        <w:pStyle w:val="BodyText"/>
      </w:pPr>
      <w:r>
        <w:rPr>
          <w:b/>
          <w:bCs/>
        </w:rPr>
        <w:t xml:space="preserve">Q67: How does the behavior of a patient during a Cluster attack differ from a Migraine?</w:t>
      </w:r>
      <w:r>
        <w:t xml:space="preserve"> </w:t>
      </w:r>
      <w:r>
        <w:t xml:space="preserve">A: Cluster patients are often restless and pacing; Migraine patients prefer to lie still in a dark room.</w:t>
      </w:r>
    </w:p>
    <w:p>
      <w:pPr>
        <w:pStyle w:val="BodyText"/>
      </w:pPr>
      <w:r>
        <w:rPr>
          <w:b/>
          <w:bCs/>
        </w:rPr>
        <w:t xml:space="preserve">Q68: What is the first-line acute treatment for Cluster Headache?</w:t>
      </w:r>
      <w:r>
        <w:t xml:space="preserve"> </w:t>
      </w:r>
      <w:r>
        <w:t xml:space="preserve">A: 100% Oxygen (12-15 L/min via non-rebreather mask) or subcutaneous Sumatriptan.</w:t>
      </w:r>
    </w:p>
    <w:p>
      <w:pPr>
        <w:pStyle w:val="BodyText"/>
      </w:pPr>
      <w:r>
        <w:rPr>
          <w:b/>
          <w:bCs/>
        </w:rPr>
        <w:t xml:space="preserve">Q69: What is the first-line preventive treatment for Cluster Headache?</w:t>
      </w:r>
      <w:r>
        <w:t xml:space="preserve"> </w:t>
      </w:r>
      <w:r>
        <w:t xml:space="preserve">A: Verapamil.</w:t>
      </w:r>
    </w:p>
    <w:p>
      <w:pPr>
        <w:pStyle w:val="BodyText"/>
      </w:pPr>
      <w:r>
        <w:rPr>
          <w:b/>
          <w:bCs/>
        </w:rPr>
        <w:t xml:space="preserve">Q70: What is a</w:t>
      </w:r>
      <w:r>
        <w:rPr>
          <w:b/>
          <w:bCs/>
        </w:rPr>
        <w:t xml:space="preserve"> </w:t>
      </w:r>
      <w:r>
        <w:rPr>
          <w:b/>
          <w:bCs/>
        </w:rPr>
        <w:t xml:space="preserve">“Trigeminal Autonomic Cephalalgia”</w:t>
      </w:r>
      <w:r>
        <w:rPr>
          <w:b/>
          <w:bCs/>
        </w:rPr>
        <w:t xml:space="preserve"> </w:t>
      </w:r>
      <w:r>
        <w:rPr>
          <w:b/>
          <w:bCs/>
        </w:rPr>
        <w:t xml:space="preserve">(TAC)?</w:t>
      </w:r>
      <w:r>
        <w:t xml:space="preserve"> </w:t>
      </w:r>
      <w:r>
        <w:t xml:space="preserve">A: A group of primary headaches including Cluster, Paroxysmal Hemicrania, and SUNCT/SUNA.</w:t>
      </w:r>
    </w:p>
    <w:p>
      <w:pPr>
        <w:pStyle w:val="BodyText"/>
      </w:pPr>
      <w:r>
        <w:rPr>
          <w:b/>
          <w:bCs/>
        </w:rPr>
        <w:t xml:space="preserve">Q71: How does Paroxysmal Hemicrania differ from Cluster Headache?</w:t>
      </w:r>
      <w:r>
        <w:t xml:space="preserve"> </w:t>
      </w:r>
      <w:r>
        <w:t xml:space="preserve">A: Shorter attacks (2-30 mins), more frequent, and absolute response to Indomethacin.</w:t>
      </w:r>
    </w:p>
    <w:p>
      <w:pPr>
        <w:pStyle w:val="BodyText"/>
      </w:pPr>
      <w:r>
        <w:rPr>
          <w:b/>
          <w:bCs/>
        </w:rPr>
        <w:t xml:space="preserve">Q72: What is the</w:t>
      </w:r>
      <w:r>
        <w:rPr>
          <w:b/>
          <w:bCs/>
        </w:rPr>
        <w:t xml:space="preserve"> </w:t>
      </w:r>
      <w:r>
        <w:rPr>
          <w:b/>
          <w:bCs/>
        </w:rPr>
        <w:t xml:space="preserve">“Indomethacin Test”</w:t>
      </w:r>
      <w:r>
        <w:rPr>
          <w:b/>
          <w:bCs/>
        </w:rPr>
        <w:t xml:space="preserve">?</w:t>
      </w:r>
      <w:r>
        <w:t xml:space="preserve"> </w:t>
      </w:r>
      <w:r>
        <w:t xml:space="preserve">A: A diagnostic trial of Indomethacin used to identify Indomethacin-responsive headaches like Paroxysmal Hemicrania.</w:t>
      </w:r>
    </w:p>
    <w:p>
      <w:pPr>
        <w:pStyle w:val="BodyText"/>
      </w:pPr>
      <w:r>
        <w:rPr>
          <w:b/>
          <w:bCs/>
        </w:rPr>
        <w:t xml:space="preserve">Q73: What are the triggers for Cluster Headache during a cluster period?</w:t>
      </w:r>
      <w:r>
        <w:t xml:space="preserve"> </w:t>
      </w:r>
      <w:r>
        <w:t xml:space="preserve">A: Alcohol and nitroglycerin.</w:t>
      </w:r>
    </w:p>
    <w:p>
      <w:pPr>
        <w:pStyle w:val="BodyText"/>
      </w:pPr>
      <w:r>
        <w:rPr>
          <w:b/>
          <w:bCs/>
        </w:rPr>
        <w:t xml:space="preserve">Q74: What is the prevalence of Cluster Headache compared to Migraine?</w:t>
      </w:r>
      <w:r>
        <w:t xml:space="preserve"> </w:t>
      </w:r>
      <w:r>
        <w:t xml:space="preserve">A: Cluster is much rarer (~0.1%) and has a male predominance, unlike Migraine.</w:t>
      </w:r>
    </w:p>
    <w:p>
      <w:pPr>
        <w:pStyle w:val="BodyText"/>
      </w:pPr>
      <w:r>
        <w:rPr>
          <w:b/>
          <w:bCs/>
        </w:rPr>
        <w:t xml:space="preserve">Q75: Can Cluster Headache cause a Horner’s syndrome?</w:t>
      </w:r>
      <w:r>
        <w:t xml:space="preserve"> </w:t>
      </w:r>
      <w:r>
        <w:t xml:space="preserve">A: Yes, transient miosis and ptosis are common during the attack.</w:t>
      </w:r>
    </w:p>
    <w:bookmarkEnd w:id="13"/>
    <w:bookmarkStart w:id="14" w:name="Xdde5a7c109747d8abce9057b0954d046a7a8e51"/>
    <w:p>
      <w:pPr>
        <w:pStyle w:val="Heading3"/>
      </w:pPr>
      <w:r>
        <w:t xml:space="preserve">Q76-Q90: Chronic Subdural Haematoma (CSDH) in Elderly</w:t>
      </w:r>
    </w:p>
    <w:p>
      <w:pPr>
        <w:pStyle w:val="FirstParagraph"/>
      </w:pPr>
      <w:r>
        <w:rPr>
          <w:b/>
          <w:bCs/>
        </w:rPr>
        <w:t xml:space="preserve">Q76: What is the typical presentation of a Chronic Subdural Haematoma (CSDH)?</w:t>
      </w:r>
      <w:r>
        <w:t xml:space="preserve"> </w:t>
      </w:r>
      <w:r>
        <w:t xml:space="preserve">A: Gradual onset of headache, cognitive decline, gait instability, or focal neuro deficits in an elderly patient.</w:t>
      </w:r>
    </w:p>
    <w:p>
      <w:pPr>
        <w:pStyle w:val="BodyText"/>
      </w:pPr>
      <w:r>
        <w:rPr>
          <w:b/>
          <w:bCs/>
        </w:rPr>
        <w:t xml:space="preserve">Q77: What is the</w:t>
      </w:r>
      <w:r>
        <w:rPr>
          <w:b/>
          <w:bCs/>
        </w:rPr>
        <w:t xml:space="preserve"> </w:t>
      </w:r>
      <w:r>
        <w:rPr>
          <w:b/>
          <w:bCs/>
        </w:rPr>
        <w:t xml:space="preserve">“Great Mimicker”</w:t>
      </w:r>
      <w:r>
        <w:rPr>
          <w:b/>
          <w:bCs/>
        </w:rPr>
        <w:t xml:space="preserve"> </w:t>
      </w:r>
      <w:r>
        <w:rPr>
          <w:b/>
          <w:bCs/>
        </w:rPr>
        <w:t xml:space="preserve">in geriatric neurology?</w:t>
      </w:r>
      <w:r>
        <w:t xml:space="preserve"> </w:t>
      </w:r>
      <w:r>
        <w:t xml:space="preserve">A: CSDH, as it can look like dementia, stroke, or depression.</w:t>
      </w:r>
    </w:p>
    <w:p>
      <w:pPr>
        <w:pStyle w:val="BodyText"/>
      </w:pPr>
      <w:r>
        <w:rPr>
          <w:b/>
          <w:bCs/>
        </w:rPr>
        <w:t xml:space="preserve">Q78: What is the pathophysiology of CSDH?</w:t>
      </w:r>
      <w:r>
        <w:t xml:space="preserve"> </w:t>
      </w:r>
      <w:r>
        <w:t xml:space="preserve">A: Rupture of bridging veins in the subdural space, often following minor trauma, facilitated by brain atrophy.</w:t>
      </w:r>
    </w:p>
    <w:p>
      <w:pPr>
        <w:pStyle w:val="BodyText"/>
      </w:pPr>
      <w:r>
        <w:rPr>
          <w:b/>
          <w:bCs/>
        </w:rPr>
        <w:t xml:space="preserve">Q79: Why are the elderly more prone to CSDH?</w:t>
      </w:r>
      <w:r>
        <w:t xml:space="preserve"> </w:t>
      </w:r>
      <w:r>
        <w:t xml:space="preserve">A: Brain atrophy increases the distance the bridging veins must travel, making them more susceptible to shearing.</w:t>
      </w:r>
    </w:p>
    <w:p>
      <w:pPr>
        <w:pStyle w:val="BodyText"/>
      </w:pPr>
      <w:r>
        <w:rPr>
          <w:b/>
          <w:bCs/>
        </w:rPr>
        <w:t xml:space="preserve">Q80: What is the imaging modality of choice for CSDH?</w:t>
      </w:r>
      <w:r>
        <w:t xml:space="preserve"> </w:t>
      </w:r>
      <w:r>
        <w:t xml:space="preserve">A: Non-contrast CT head.</w:t>
      </w:r>
    </w:p>
    <w:p>
      <w:pPr>
        <w:pStyle w:val="BodyText"/>
      </w:pPr>
      <w:r>
        <w:rPr>
          <w:b/>
          <w:bCs/>
        </w:rPr>
        <w:t xml:space="preserve">Q81: Describe the CT appearance of an</w:t>
      </w:r>
      <w:r>
        <w:rPr>
          <w:b/>
          <w:bCs/>
        </w:rPr>
        <w:t xml:space="preserve"> </w:t>
      </w:r>
      <w:r>
        <w:rPr>
          <w:b/>
          <w:bCs/>
        </w:rPr>
        <w:t xml:space="preserve">“acute-on-chronic”</w:t>
      </w:r>
      <w:r>
        <w:rPr>
          <w:b/>
          <w:bCs/>
        </w:rPr>
        <w:t xml:space="preserve"> </w:t>
      </w:r>
      <w:r>
        <w:rPr>
          <w:b/>
          <w:bCs/>
        </w:rPr>
        <w:t xml:space="preserve">subdural.</w:t>
      </w:r>
      <w:r>
        <w:t xml:space="preserve"> </w:t>
      </w:r>
      <w:r>
        <w:t xml:space="preserve">A: Mixed density (hypodense/isodense chronic blood with hyperdense acute blood).</w:t>
      </w:r>
    </w:p>
    <w:p>
      <w:pPr>
        <w:pStyle w:val="BodyText"/>
      </w:pPr>
      <w:r>
        <w:rPr>
          <w:b/>
          <w:bCs/>
        </w:rPr>
        <w:t xml:space="preserve">Q82: What does an isodense CSDH look like on CT?</w:t>
      </w:r>
      <w:r>
        <w:t xml:space="preserve"> </w:t>
      </w:r>
      <w:r>
        <w:t xml:space="preserve">A: It has the same density as brain tissue and may only be recognized by sulcal effacement or midline shift.</w:t>
      </w:r>
    </w:p>
    <w:p>
      <w:pPr>
        <w:pStyle w:val="BodyText"/>
      </w:pPr>
      <w:r>
        <w:rPr>
          <w:b/>
          <w:bCs/>
        </w:rPr>
        <w:t xml:space="preserve">Q83: When is MRI superior to CT for CSDH?</w:t>
      </w:r>
      <w:r>
        <w:t xml:space="preserve"> </w:t>
      </w:r>
      <w:r>
        <w:t xml:space="preserve">A: For identifying small or isodense bilateral CSDHs that are hard to see on CT.</w:t>
      </w:r>
    </w:p>
    <w:p>
      <w:pPr>
        <w:pStyle w:val="BodyText"/>
      </w:pPr>
      <w:r>
        <w:rPr>
          <w:b/>
          <w:bCs/>
        </w:rPr>
        <w:t xml:space="preserve">Q84: What are the conservative management options for CSDH?</w:t>
      </w:r>
      <w:r>
        <w:t xml:space="preserve"> </w:t>
      </w:r>
      <w:r>
        <w:t xml:space="preserve">A: Observation, correcting coagulopathy, and potentially medications like Tranexamic Acid or Dexamethasone (though controversial).</w:t>
      </w:r>
    </w:p>
    <w:p>
      <w:pPr>
        <w:pStyle w:val="BodyText"/>
      </w:pPr>
      <w:r>
        <w:rPr>
          <w:b/>
          <w:bCs/>
        </w:rPr>
        <w:t xml:space="preserve">Q85: What are the surgical indications for CSDH?</w:t>
      </w:r>
      <w:r>
        <w:t xml:space="preserve"> </w:t>
      </w:r>
      <w:r>
        <w:t xml:space="preserve">A: Symptomatic patients (focal deficits, severe headache, confusion) or significant midline shift (&gt;5-10mm).</w:t>
      </w:r>
    </w:p>
    <w:p>
      <w:pPr>
        <w:pStyle w:val="BodyText"/>
      </w:pPr>
      <w:r>
        <w:rPr>
          <w:b/>
          <w:bCs/>
        </w:rPr>
        <w:t xml:space="preserve">Q86: What is the most common surgical procedure for CSDH?</w:t>
      </w:r>
      <w:r>
        <w:t xml:space="preserve"> </w:t>
      </w:r>
      <w:r>
        <w:t xml:space="preserve">A: Burr hole evacuation with drainage.</w:t>
      </w:r>
    </w:p>
    <w:p>
      <w:pPr>
        <w:pStyle w:val="BodyText"/>
      </w:pPr>
      <w:r>
        <w:rPr>
          <w:b/>
          <w:bCs/>
        </w:rPr>
        <w:t xml:space="preserve">Q87: What is the role of Middle Meningeal Artery (MMA) embolization?</w:t>
      </w:r>
      <w:r>
        <w:t xml:space="preserve"> </w:t>
      </w:r>
      <w:r>
        <w:t xml:space="preserve">A: An emerging minimally invasive treatment to reduce the recurrence rate of CSDHs.</w:t>
      </w:r>
    </w:p>
    <w:p>
      <w:pPr>
        <w:pStyle w:val="BodyText"/>
      </w:pPr>
      <w:r>
        <w:rPr>
          <w:b/>
          <w:bCs/>
        </w:rPr>
        <w:t xml:space="preserve">Q88: Why is the recurrence rate of CSDH high?</w:t>
      </w:r>
      <w:r>
        <w:t xml:space="preserve"> </w:t>
      </w:r>
      <w:r>
        <w:t xml:space="preserve">A: Because the</w:t>
      </w:r>
      <w:r>
        <w:t xml:space="preserve"> </w:t>
      </w:r>
      <w:r>
        <w:t xml:space="preserve">“pseudomembrane”</w:t>
      </w:r>
      <w:r>
        <w:t xml:space="preserve"> </w:t>
      </w:r>
      <w:r>
        <w:t xml:space="preserve">of the hematoma is highly vascular and prone to re-bleeding.</w:t>
      </w:r>
    </w:p>
    <w:p>
      <w:pPr>
        <w:pStyle w:val="BodyText"/>
      </w:pPr>
      <w:r>
        <w:rPr>
          <w:b/>
          <w:bCs/>
        </w:rPr>
        <w:t xml:space="preserve">Q89: How does CSDH present differently from Acute SDH?</w:t>
      </w:r>
      <w:r>
        <w:t xml:space="preserve"> </w:t>
      </w:r>
      <w:r>
        <w:t xml:space="preserve">A: Acute SDH is usually associated with high-impact trauma and hyperdense blood; CSDH follows minor trauma and has hypodense blood.</w:t>
      </w:r>
    </w:p>
    <w:p>
      <w:pPr>
        <w:pStyle w:val="BodyText"/>
      </w:pPr>
      <w:r>
        <w:rPr>
          <w:b/>
          <w:bCs/>
        </w:rPr>
        <w:t xml:space="preserve">Q90: What is a</w:t>
      </w:r>
      <w:r>
        <w:rPr>
          <w:b/>
          <w:bCs/>
        </w:rPr>
        <w:t xml:space="preserve"> </w:t>
      </w:r>
      <w:r>
        <w:rPr>
          <w:b/>
          <w:bCs/>
        </w:rPr>
        <w:t xml:space="preserve">“Subdural Hygroma”</w:t>
      </w:r>
      <w:r>
        <w:rPr>
          <w:b/>
          <w:bCs/>
        </w:rPr>
        <w:t xml:space="preserve">?</w:t>
      </w:r>
      <w:r>
        <w:t xml:space="preserve"> </w:t>
      </w:r>
      <w:r>
        <w:t xml:space="preserve">A: A collection of CSF in the subdural space, which can sometimes evolve into a CSDH.</w:t>
      </w:r>
    </w:p>
    <w:bookmarkEnd w:id="14"/>
    <w:bookmarkStart w:id="15" w:name="X05ea855cdce9df5ab366cd30975a235248bc77f"/>
    <w:p>
      <w:pPr>
        <w:pStyle w:val="Heading3"/>
      </w:pPr>
      <w:r>
        <w:t xml:space="preserve">Q91-Q100: Disposition &amp; Prognosis (GCA Visual Outcomes, Steroid Taper)</w:t>
      </w:r>
    </w:p>
    <w:p>
      <w:pPr>
        <w:pStyle w:val="FirstParagraph"/>
      </w:pPr>
      <w:r>
        <w:rPr>
          <w:b/>
          <w:bCs/>
        </w:rPr>
        <w:t xml:space="preserve">Q91: What is the typical duration of steroid therapy in GCA?</w:t>
      </w:r>
      <w:r>
        <w:t xml:space="preserve"> </w:t>
      </w:r>
      <w:r>
        <w:t xml:space="preserve">A: Usually 12 to 24 months, with a very gradual taper.</w:t>
      </w:r>
    </w:p>
    <w:p>
      <w:pPr>
        <w:pStyle w:val="BodyText"/>
      </w:pPr>
      <w:r>
        <w:rPr>
          <w:b/>
          <w:bCs/>
        </w:rPr>
        <w:t xml:space="preserve">Q92: Why is the steroid taper so slow?</w:t>
      </w:r>
      <w:r>
        <w:t xml:space="preserve"> </w:t>
      </w:r>
      <w:r>
        <w:t xml:space="preserve">A: To prevent flares of the vasculitis, which can happen if the dose is reduced too quickly.</w:t>
      </w:r>
    </w:p>
    <w:p>
      <w:pPr>
        <w:pStyle w:val="BodyText"/>
      </w:pPr>
      <w:r>
        <w:rPr>
          <w:b/>
          <w:bCs/>
        </w:rPr>
        <w:t xml:space="preserve">Q93: If vision is lost in GCA, will it recover with steroids?</w:t>
      </w:r>
      <w:r>
        <w:t xml:space="preserve"> </w:t>
      </w:r>
      <w:r>
        <w:t xml:space="preserve">A: Usually no. The primary goal of treatment is to protect the remaining vision and the other eye.</w:t>
      </w:r>
    </w:p>
    <w:p>
      <w:pPr>
        <w:pStyle w:val="BodyText"/>
      </w:pPr>
      <w:r>
        <w:rPr>
          <w:b/>
          <w:bCs/>
        </w:rPr>
        <w:t xml:space="preserve">Q94: What is the risk of the</w:t>
      </w:r>
      <w:r>
        <w:rPr>
          <w:b/>
          <w:bCs/>
        </w:rPr>
        <w:t xml:space="preserve"> </w:t>
      </w:r>
      <w:r>
        <w:rPr>
          <w:b/>
          <w:bCs/>
        </w:rPr>
        <w:t xml:space="preserve">“other eye”</w:t>
      </w:r>
      <w:r>
        <w:rPr>
          <w:b/>
          <w:bCs/>
        </w:rPr>
        <w:t xml:space="preserve"> </w:t>
      </w:r>
      <w:r>
        <w:rPr>
          <w:b/>
          <w:bCs/>
        </w:rPr>
        <w:t xml:space="preserve">being involved if GCA is untreated?</w:t>
      </w:r>
      <w:r>
        <w:t xml:space="preserve"> </w:t>
      </w:r>
      <w:r>
        <w:t xml:space="preserve">A: Up to 50% within days to weeks.</w:t>
      </w:r>
    </w:p>
    <w:p>
      <w:pPr>
        <w:pStyle w:val="BodyText"/>
      </w:pPr>
      <w:r>
        <w:rPr>
          <w:b/>
          <w:bCs/>
        </w:rPr>
        <w:t xml:space="preserve">Q95: What are the long-term monitoring requirements for GCA?</w:t>
      </w:r>
      <w:r>
        <w:t xml:space="preserve"> </w:t>
      </w:r>
      <w:r>
        <w:t xml:space="preserve">A: Regular ESR/CRP checks and monitoring for steroid side effects (bone density, glucose, BP).</w:t>
      </w:r>
    </w:p>
    <w:p>
      <w:pPr>
        <w:pStyle w:val="BodyText"/>
      </w:pPr>
      <w:r>
        <w:rPr>
          <w:b/>
          <w:bCs/>
        </w:rPr>
        <w:t xml:space="preserve">Q96: What is a</w:t>
      </w:r>
      <w:r>
        <w:rPr>
          <w:b/>
          <w:bCs/>
        </w:rPr>
        <w:t xml:space="preserve"> </w:t>
      </w:r>
      <w:r>
        <w:rPr>
          <w:b/>
          <w:bCs/>
        </w:rPr>
        <w:t xml:space="preserve">“GCA Flare”</w:t>
      </w:r>
      <w:r>
        <w:rPr>
          <w:b/>
          <w:bCs/>
        </w:rPr>
        <w:t xml:space="preserve">?</w:t>
      </w:r>
      <w:r>
        <w:t xml:space="preserve"> </w:t>
      </w:r>
      <w:r>
        <w:t xml:space="preserve">A: Recurrence of symptoms (headache, PMR) or a significant rise in ESR/CRP during steroid tapering.</w:t>
      </w:r>
    </w:p>
    <w:p>
      <w:pPr>
        <w:pStyle w:val="BodyText"/>
      </w:pPr>
      <w:r>
        <w:rPr>
          <w:b/>
          <w:bCs/>
        </w:rPr>
        <w:t xml:space="preserve">Q97: What are the common steroid-related complications in the elderly?</w:t>
      </w:r>
      <w:r>
        <w:t xml:space="preserve"> </w:t>
      </w:r>
      <w:r>
        <w:t xml:space="preserve">A: Osteoporosis, diabetes, hypertension, cataracts, and thinning of the skin.</w:t>
      </w:r>
    </w:p>
    <w:p>
      <w:pPr>
        <w:pStyle w:val="BodyText"/>
      </w:pPr>
      <w:r>
        <w:rPr>
          <w:b/>
          <w:bCs/>
        </w:rPr>
        <w:t xml:space="preserve">Q98: When should a bone-sparing agent (Bisphosphonate) be started?</w:t>
      </w:r>
      <w:r>
        <w:t xml:space="preserve"> </w:t>
      </w:r>
      <w:r>
        <w:t xml:space="preserve">A: Usually at the initiation of long-term high-dose steroids in the elderly.</w:t>
      </w:r>
    </w:p>
    <w:p>
      <w:pPr>
        <w:pStyle w:val="BodyText"/>
      </w:pPr>
      <w:r>
        <w:rPr>
          <w:b/>
          <w:bCs/>
        </w:rPr>
        <w:t xml:space="preserve">Q99: What is the prognosis for life expectancy in GCA?</w:t>
      </w:r>
      <w:r>
        <w:t xml:space="preserve"> </w:t>
      </w:r>
      <w:r>
        <w:t xml:space="preserve">A: Generally normal, provided complications like aortic aneurysm are monitored.</w:t>
      </w:r>
    </w:p>
    <w:p>
      <w:pPr>
        <w:pStyle w:val="BodyText"/>
      </w:pPr>
      <w:r>
        <w:rPr>
          <w:b/>
          <w:bCs/>
        </w:rPr>
        <w:t xml:space="preserve">Q100: Why is long-term monitoring for aortic aneurysm important in GCA?</w:t>
      </w:r>
      <w:r>
        <w:t xml:space="preserve"> </w:t>
      </w:r>
      <w:r>
        <w:t xml:space="preserve">A: GCA can involve the aorta (aortitis), leading to late-stage aneurysms or dissections in ~10-15% of patients.</w:t>
      </w:r>
    </w:p>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2026-04-02T16:14:32Z</dcterms:created>
  <dcterms:modified xsi:type="dcterms:W3CDTF">2026-04-02T16:14:32Z</dcterms:modified>
</cp:coreProperties>
</file>

<file path=docProps/custom.xml><?xml version="1.0" encoding="utf-8"?>
<Properties xmlns="http://schemas.openxmlformats.org/officeDocument/2006/custom-properties" xmlns:vt="http://schemas.openxmlformats.org/officeDocument/2006/docPropsVTypes"/>
</file>