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9342d6a24a103afbe87caeb940c12a61626feb"/>
    <w:p>
      <w:pPr>
        <w:pStyle w:val="Heading1"/>
      </w:pPr>
      <w:r>
        <w:t xml:space="preserve">Master Case: Sexual Assault Survivor Narrative</w:t>
      </w:r>
    </w:p>
    <w:bookmarkStart w:id="9" w:name="X9e2323a855bad4c5b4e5c6856cfde08ad150f1e"/>
    <w:p>
      <w:pPr>
        <w:pStyle w:val="Heading2"/>
      </w:pPr>
      <w:r>
        <w:t xml:space="preserve">Clinical Timeline-Based Narrative: Triage to Definitive Care</w:t>
      </w:r>
    </w:p>
    <w:p>
      <w:pPr>
        <w:pStyle w:val="FirstParagraph"/>
      </w:pPr>
      <w:r>
        <w:rPr>
          <w:b/>
          <w:bCs/>
        </w:rPr>
        <w:t xml:space="preserve">00:00 - Triage:</w:t>
      </w:r>
      <w:r>
        <w:t xml:space="preserve"> </w:t>
      </w:r>
      <w:r>
        <w:t xml:space="preserve">A 22-year-old female presents to the Emergency Department triage desk, accompanied by a friend. She is visibly distraught, tearful, and appears disheveled. She states,</w:t>
      </w:r>
      <w:r>
        <w:t xml:space="preserve"> </w:t>
      </w:r>
      <w:r>
        <w:t xml:space="preserve">“I was attacked a few hours ago.”</w:t>
      </w:r>
      <w:r>
        <w:t xml:space="preserve"> </w:t>
      </w:r>
      <w:r>
        <w:t xml:space="preserve">The triage nurse immediately moves her to a private, secure</w:t>
      </w:r>
      <w:r>
        <w:t xml:space="preserve"> </w:t>
      </w:r>
      <w:r>
        <w:t xml:space="preserve">“quiet room”</w:t>
      </w:r>
      <w:r>
        <w:t xml:space="preserve"> </w:t>
      </w:r>
      <w:r>
        <w:t xml:space="preserve">to ensure safety and confidentiality.</w:t>
      </w:r>
    </w:p>
    <w:p>
      <w:pPr>
        <w:pStyle w:val="BodyText"/>
      </w:pPr>
      <w:r>
        <w:rPr>
          <w:b/>
          <w:bCs/>
        </w:rPr>
        <w:t xml:space="preserve">00:15 - Initial Assessment:</w:t>
      </w:r>
      <w:r>
        <w:t xml:space="preserve"> </w:t>
      </w:r>
      <w:r>
        <w:t xml:space="preserve">A Sexual Assault Nurse Examiner (SANE) is called. The first priority is psychological stabilization and safety. The patient is informed of her right to a medical exam, a forensic exam, or both. She is told she can stop the exam at any time. Vital signs are stable (BP 118/72, HR 88). She reports no immediate life-threatening injuries but has some bruising on her wrists and inner thighs.</w:t>
      </w:r>
    </w:p>
    <w:p>
      <w:pPr>
        <w:pStyle w:val="BodyText"/>
      </w:pPr>
      <w:r>
        <w:rPr>
          <w:b/>
          <w:bCs/>
        </w:rPr>
        <w:t xml:space="preserve">01:00 - History &amp; Forensic Collection:</w:t>
      </w:r>
      <w:r>
        <w:t xml:space="preserve"> </w:t>
      </w:r>
      <w:r>
        <w:t xml:space="preserve">After obtaining informed consent, the forensic exam (Rape Kit) begins. The patient provides a brief history of the event to guide evidence collection (e.g., locations of contact, use of lubricants, or any symptoms of drug-facilitated assault like memory gaps). DNA swabs are taken from the skin, and a pelvic exam is performed to collect vaginal/cervical specimens. A</w:t>
      </w:r>
      <w:r>
        <w:t xml:space="preserve"> </w:t>
      </w:r>
      <w:r>
        <w:t xml:space="preserve">“Chain of Custody”</w:t>
      </w:r>
      <w:r>
        <w:t xml:space="preserve"> </w:t>
      </w:r>
      <w:r>
        <w:t xml:space="preserve">is meticulously maintained for all evidence.</w:t>
      </w:r>
    </w:p>
    <w:p>
      <w:pPr>
        <w:pStyle w:val="BodyText"/>
      </w:pPr>
      <w:r>
        <w:rPr>
          <w:b/>
          <w:bCs/>
        </w:rPr>
        <w:t xml:space="preserve">02:30 - Medical Prophylaxis:</w:t>
      </w:r>
      <w:r>
        <w:t xml:space="preserve"> </w:t>
      </w:r>
      <w:r>
        <w:t xml:space="preserve">Following the forensic collection, the focus shifts to medical care. The patient is offered Emergency Contraception (EC). Given she is within the 72-hour window and prefers an oral option, Ulipristal acetate 30mg is discussed as being more effective than Levonorgestrel, especially for higher BMI. She is also provided with empiric STI prophylaxis: Ceftriaxone 500mg IM, Doxycycline 100mg PO BID for 7 days, and Metronidazole 2g PO (single dose).</w:t>
      </w:r>
    </w:p>
    <w:p>
      <w:pPr>
        <w:pStyle w:val="BodyText"/>
      </w:pPr>
      <w:r>
        <w:rPr>
          <w:b/>
          <w:bCs/>
        </w:rPr>
        <w:t xml:space="preserve">03:00 - nPEP &amp; Immunization:</w:t>
      </w:r>
      <w:r>
        <w:t xml:space="preserve"> </w:t>
      </w:r>
      <w:r>
        <w:t xml:space="preserve">The risk of HIV is assessed. Because the assault was</w:t>
      </w:r>
      <w:r>
        <w:t xml:space="preserve"> </w:t>
      </w:r>
      <w:r>
        <w:t xml:space="preserve">“high-risk”</w:t>
      </w:r>
      <w:r>
        <w:t xml:space="preserve"> </w:t>
      </w:r>
      <w:r>
        <w:t xml:space="preserve">(penetrative, unknown status of assailant) and occurred &lt;72 hours ago, non-occupational Post-Exposure Prophylaxis (nPEP) is initiated: Tenofovir DF/Emtricitabine (Truvada) plus Dolutegravir (Tivicay) for a 28-day course. She is also given the first dose of the Hepatitis B vaccine series.</w:t>
      </w:r>
    </w:p>
    <w:p>
      <w:pPr>
        <w:pStyle w:val="BodyText"/>
      </w:pPr>
      <w:r>
        <w:rPr>
          <w:b/>
          <w:bCs/>
        </w:rPr>
        <w:t xml:space="preserve">04:00 - Disposition:</w:t>
      </w:r>
      <w:r>
        <w:t xml:space="preserve"> </w:t>
      </w:r>
      <w:r>
        <w:t xml:space="preserve">The patient is provided with a</w:t>
      </w:r>
      <w:r>
        <w:t xml:space="preserve"> </w:t>
      </w:r>
      <w:r>
        <w:t xml:space="preserve">“Warm Handoff”</w:t>
      </w:r>
      <w:r>
        <w:t xml:space="preserve"> </w:t>
      </w:r>
      <w:r>
        <w:t xml:space="preserve">to a local sexual assault advocacy center. She is given crisis hotline numbers and scheduled for follow-up in 2 weeks for psychological support and 6 weeks for repeat STI/HIV testing. She is discharged to the care of her trusted friend.</w:t>
      </w:r>
    </w:p>
    <w:p>
      <w:r>
        <w:pict>
          <v:rect style="width:0;height:1.5pt" o:hralign="center" o:hrstd="t" o:hr="t"/>
        </w:pict>
      </w:r>
    </w:p>
    <w:bookmarkEnd w:id="9"/>
    <w:bookmarkStart w:id="16" w:name="X0821006beec382596eb4f9d025367a920d2128e"/>
    <w:p>
      <w:pPr>
        <w:pStyle w:val="Heading2"/>
      </w:pPr>
      <w:r>
        <w:t xml:space="preserve">100 Rapid-Fire Clinical Questions and Answers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is the primary goal of the triage nurse in a sexual assault case?</w:t>
      </w:r>
      <w:r>
        <w:t xml:space="preserve"> </w:t>
      </w:r>
      <w:r>
        <w:t xml:space="preserve">A: To ensure the survivor’s immediate safety, privacy, and psychological stabilization.</w:t>
      </w:r>
    </w:p>
    <w:p>
      <w:pPr>
        <w:pStyle w:val="BodyText"/>
      </w:pPr>
      <w:r>
        <w:t xml:space="preserve">Q2: Is mandatory reporting to the police required for an adult survivor?</w:t>
      </w:r>
      <w:r>
        <w:t xml:space="preserve"> </w:t>
      </w:r>
      <w:r>
        <w:t xml:space="preserve">A: In most jurisdictions, it is the survivor’s choice whether to report to law enforcement, unless there are mandatory reporting laws for specific circumstances (e.g., elder abuse, use of a firearm).</w:t>
      </w:r>
    </w:p>
    <w:p>
      <w:pPr>
        <w:pStyle w:val="BodyText"/>
      </w:pPr>
      <w:r>
        <w:t xml:space="preserve">Q3: What is the</w:t>
      </w:r>
      <w:r>
        <w:t xml:space="preserve"> </w:t>
      </w:r>
      <w:r>
        <w:t xml:space="preserve">“Forensic vs. Medical”</w:t>
      </w:r>
      <w:r>
        <w:t xml:space="preserve"> </w:t>
      </w:r>
      <w:r>
        <w:t xml:space="preserve">goal?</w:t>
      </w:r>
      <w:r>
        <w:t xml:space="preserve"> </w:t>
      </w:r>
      <w:r>
        <w:t xml:space="preserve">A: Forensic goals focus on evidence collection for potential prosecution; medical goals focus on injury treatment, pregnancy prevention, and STI/HIV prophylaxis.</w:t>
      </w:r>
    </w:p>
    <w:p>
      <w:pPr>
        <w:pStyle w:val="BodyText"/>
      </w:pPr>
      <w:r>
        <w:t xml:space="preserve">Q4: Why is a</w:t>
      </w:r>
      <w:r>
        <w:t xml:space="preserve"> </w:t>
      </w:r>
      <w:r>
        <w:t xml:space="preserve">“brief”</w:t>
      </w:r>
      <w:r>
        <w:t xml:space="preserve"> </w:t>
      </w:r>
      <w:r>
        <w:t xml:space="preserve">history preferred during triage?</w:t>
      </w:r>
      <w:r>
        <w:t xml:space="preserve"> </w:t>
      </w:r>
      <w:r>
        <w:t xml:space="preserve">A: To avoid multiple re-traumatizing tellings of the event; the detailed history is reserved for the SANE/forensic exam.</w:t>
      </w:r>
    </w:p>
    <w:p>
      <w:pPr>
        <w:pStyle w:val="BodyText"/>
      </w:pPr>
      <w:r>
        <w:t xml:space="preserve">Q5: Should the patient be encouraged to shower before the exam?</w:t>
      </w:r>
      <w:r>
        <w:t xml:space="preserve"> </w:t>
      </w:r>
      <w:r>
        <w:t xml:space="preserve">A: No, survivors should be advised NOT to shower, bathe, brush teeth, or change clothes to preserve DNA evidence.</w:t>
      </w:r>
    </w:p>
    <w:p>
      <w:pPr>
        <w:pStyle w:val="BodyText"/>
      </w:pPr>
      <w:r>
        <w:t xml:space="preserve">Q6: What if the patient has already showered?</w:t>
      </w:r>
      <w:r>
        <w:t xml:space="preserve"> </w:t>
      </w:r>
      <w:r>
        <w:t xml:space="preserve">A: The exam should still proceed, as evidence can often still be collected.</w:t>
      </w:r>
    </w:p>
    <w:p>
      <w:pPr>
        <w:pStyle w:val="BodyText"/>
      </w:pPr>
      <w:r>
        <w:t xml:space="preserve">Q7: What is the significance of</w:t>
      </w:r>
      <w:r>
        <w:t xml:space="preserve"> </w:t>
      </w:r>
      <w:r>
        <w:t xml:space="preserve">“Loss of Consciousness”</w:t>
      </w:r>
      <w:r>
        <w:t xml:space="preserve"> </w:t>
      </w:r>
      <w:r>
        <w:t xml:space="preserve">(LOC) or memory gaps in the history?</w:t>
      </w:r>
      <w:r>
        <w:t xml:space="preserve"> </w:t>
      </w:r>
      <w:r>
        <w:t xml:space="preserve">A: It raises suspicion for Drug-Facilitated Sexual Assault (DFSA).</w:t>
      </w:r>
    </w:p>
    <w:p>
      <w:pPr>
        <w:pStyle w:val="BodyText"/>
      </w:pPr>
      <w:r>
        <w:t xml:space="preserve">Q8: How long is the typical</w:t>
      </w:r>
      <w:r>
        <w:t xml:space="preserve"> </w:t>
      </w:r>
      <w:r>
        <w:t xml:space="preserve">“window”</w:t>
      </w:r>
      <w:r>
        <w:t xml:space="preserve"> </w:t>
      </w:r>
      <w:r>
        <w:t xml:space="preserve">for a forensic evidence collection (Rape Kit)?</w:t>
      </w:r>
      <w:r>
        <w:t xml:space="preserve"> </w:t>
      </w:r>
      <w:r>
        <w:t xml:space="preserve">A: Generally up to 72-120 hours, though some protocols allow for collection up to 7 days.</w:t>
      </w:r>
    </w:p>
    <w:p>
      <w:pPr>
        <w:pStyle w:val="BodyText"/>
      </w:pPr>
      <w:r>
        <w:t xml:space="preserve">Q9: What is the role of a</w:t>
      </w:r>
      <w:r>
        <w:t xml:space="preserve"> </w:t>
      </w:r>
      <w:r>
        <w:t xml:space="preserve">“Sexual Assault Advocate”</w:t>
      </w:r>
      <w:r>
        <w:t xml:space="preserve">?</w:t>
      </w:r>
      <w:r>
        <w:t xml:space="preserve"> </w:t>
      </w:r>
      <w:r>
        <w:t xml:space="preserve">A: To provide emotional support, explain the process, and assist with resources during and after the ED visit.</w:t>
      </w:r>
    </w:p>
    <w:p>
      <w:pPr>
        <w:pStyle w:val="BodyText"/>
      </w:pPr>
      <w:r>
        <w:t xml:space="preserve">Q10: What is the first priority if the patient is hemodynamically unstable?</w:t>
      </w:r>
      <w:r>
        <w:t xml:space="preserve"> </w:t>
      </w:r>
      <w:r>
        <w:t xml:space="preserve">A: Medical stabilization (ABCs) takes precedence over forensic evidence collection.</w:t>
      </w:r>
    </w:p>
    <w:p>
      <w:pPr>
        <w:pStyle w:val="BodyText"/>
      </w:pPr>
      <w:r>
        <w:t xml:space="preserve">Q11: Can a minor’s assault be kept confidential from parents?</w:t>
      </w:r>
      <w:r>
        <w:t xml:space="preserve"> </w:t>
      </w:r>
      <w:r>
        <w:t xml:space="preserve">A: No, in most states, sexual assault of a minor is a mandatory report to Child Protective Services (CPS) and law enforcement.</w:t>
      </w:r>
    </w:p>
    <w:p>
      <w:pPr>
        <w:pStyle w:val="BodyText"/>
      </w:pPr>
      <w:r>
        <w:t xml:space="preserve">Q12: Why is the patient’s menstrual history (LMP) important?</w:t>
      </w:r>
      <w:r>
        <w:t xml:space="preserve"> </w:t>
      </w:r>
      <w:r>
        <w:t xml:space="preserve">A: To assess the baseline risk of pregnancy at the time of the assault.</w:t>
      </w:r>
    </w:p>
    <w:p>
      <w:pPr>
        <w:pStyle w:val="BodyText"/>
      </w:pPr>
      <w:r>
        <w:t xml:space="preserve">Q13: What should be done with the clothing the survivor wore during the assault?</w:t>
      </w:r>
      <w:r>
        <w:t xml:space="preserve"> </w:t>
      </w:r>
      <w:r>
        <w:t xml:space="preserve">A: It should be collected as evidence and placed in individual paper bags (not plastic, to prevent mold/DNA degradation).</w:t>
      </w:r>
    </w:p>
    <w:p>
      <w:pPr>
        <w:pStyle w:val="BodyText"/>
      </w:pPr>
      <w:r>
        <w:t xml:space="preserve">Q14: How is</w:t>
      </w:r>
      <w:r>
        <w:t xml:space="preserve"> </w:t>
      </w:r>
      <w:r>
        <w:t xml:space="preserve">“Consent”</w:t>
      </w:r>
      <w:r>
        <w:t xml:space="preserve"> </w:t>
      </w:r>
      <w:r>
        <w:t xml:space="preserve">handled for the exam?</w:t>
      </w:r>
      <w:r>
        <w:t xml:space="preserve"> </w:t>
      </w:r>
      <w:r>
        <w:t xml:space="preserve">A: Consent must be written, informed, and can be withdrawn by the survivor at any stage of the exam.</w:t>
      </w:r>
    </w:p>
    <w:p>
      <w:pPr>
        <w:pStyle w:val="BodyText"/>
      </w:pPr>
      <w:r>
        <w:t xml:space="preserve">Q15: What is</w:t>
      </w:r>
      <w:r>
        <w:t xml:space="preserve"> </w:t>
      </w:r>
      <w:r>
        <w:t xml:space="preserve">“Trauma-Informed Care”</w:t>
      </w:r>
      <w:r>
        <w:t xml:space="preserve">?</w:t>
      </w:r>
      <w:r>
        <w:t xml:space="preserve"> </w:t>
      </w:r>
      <w:r>
        <w:t xml:space="preserve">A: An approach that recognizes the impact of trauma and focuses on empowering the survivor, avoiding re-traumatization, and ensuring choice.</w:t>
      </w:r>
    </w:p>
    <w:bookmarkEnd w:id="10"/>
    <w:bookmarkStart w:id="11" w:name="q16-q35-forensic-evidence"/>
    <w:p>
      <w:pPr>
        <w:pStyle w:val="Heading3"/>
      </w:pPr>
      <w:r>
        <w:t xml:space="preserve">Q16-Q35: Forensic Evidence</w:t>
      </w:r>
    </w:p>
    <w:p>
      <w:pPr>
        <w:pStyle w:val="FirstParagraph"/>
      </w:pPr>
      <w:r>
        <w:t xml:space="preserve">Q16: What is a</w:t>
      </w:r>
      <w:r>
        <w:t xml:space="preserve"> </w:t>
      </w:r>
      <w:r>
        <w:t xml:space="preserve">“SANE”</w:t>
      </w:r>
      <w:r>
        <w:t xml:space="preserve"> </w:t>
      </w:r>
      <w:r>
        <w:t xml:space="preserve">exam?</w:t>
      </w:r>
      <w:r>
        <w:t xml:space="preserve"> </w:t>
      </w:r>
      <w:r>
        <w:t xml:space="preserve">A: A Sexual Assault Nurse Examiner exam, performed by a nurse with specialized training in forensic evidence collection and trauma-informed care.</w:t>
      </w:r>
    </w:p>
    <w:p>
      <w:pPr>
        <w:pStyle w:val="BodyText"/>
      </w:pPr>
      <w:r>
        <w:t xml:space="preserve">Q17: What are the components of a standard</w:t>
      </w:r>
      <w:r>
        <w:t xml:space="preserve"> </w:t>
      </w:r>
      <w:r>
        <w:t xml:space="preserve">“Rape Kit”</w:t>
      </w:r>
      <w:r>
        <w:t xml:space="preserve">?</w:t>
      </w:r>
      <w:r>
        <w:t xml:space="preserve"> </w:t>
      </w:r>
      <w:r>
        <w:t xml:space="preserve">A: Documentation of injuries, swabs (oral, vaginal, anal, skin), hair samples (if relevant), and blood/urine for toxicology.</w:t>
      </w:r>
    </w:p>
    <w:p>
      <w:pPr>
        <w:pStyle w:val="BodyText"/>
      </w:pPr>
      <w:r>
        <w:t xml:space="preserve">Q18: What is the</w:t>
      </w:r>
      <w:r>
        <w:t xml:space="preserve"> </w:t>
      </w:r>
      <w:r>
        <w:t xml:space="preserve">“Chain of Custody”</w:t>
      </w:r>
      <w:r>
        <w:t xml:space="preserve">?</w:t>
      </w:r>
      <w:r>
        <w:t xml:space="preserve"> </w:t>
      </w:r>
      <w:r>
        <w:t xml:space="preserve">A: A meticulous record of everyone who has handled the evidence to ensure it remains untampered and admissible in court.</w:t>
      </w:r>
    </w:p>
    <w:p>
      <w:pPr>
        <w:pStyle w:val="BodyText"/>
      </w:pPr>
      <w:r>
        <w:t xml:space="preserve">Q19: How is DNA collected from the skin?</w:t>
      </w:r>
      <w:r>
        <w:t xml:space="preserve"> </w:t>
      </w:r>
      <w:r>
        <w:t xml:space="preserve">A: Using the</w:t>
      </w:r>
      <w:r>
        <w:t xml:space="preserve"> </w:t>
      </w:r>
      <w:r>
        <w:t xml:space="preserve">“double swab”</w:t>
      </w:r>
      <w:r>
        <w:t xml:space="preserve"> </w:t>
      </w:r>
      <w:r>
        <w:t xml:space="preserve">technique (one moist, one dry).</w:t>
      </w:r>
    </w:p>
    <w:p>
      <w:pPr>
        <w:pStyle w:val="BodyText"/>
      </w:pPr>
      <w:r>
        <w:t xml:space="preserve">Q20: What is a</w:t>
      </w:r>
      <w:r>
        <w:t xml:space="preserve"> </w:t>
      </w:r>
      <w:r>
        <w:t xml:space="preserve">“Wood’s Lamp”</w:t>
      </w:r>
      <w:r>
        <w:t xml:space="preserve"> </w:t>
      </w:r>
      <w:r>
        <w:t xml:space="preserve">or</w:t>
      </w:r>
      <w:r>
        <w:t xml:space="preserve"> </w:t>
      </w:r>
      <w:r>
        <w:t xml:space="preserve">“Alternate Light Source”</w:t>
      </w:r>
      <w:r>
        <w:t xml:space="preserve"> </w:t>
      </w:r>
      <w:r>
        <w:t xml:space="preserve">(ALS) used for?</w:t>
      </w:r>
      <w:r>
        <w:t xml:space="preserve"> </w:t>
      </w:r>
      <w:r>
        <w:t xml:space="preserve">A: To identify biological fluids like semen or saliva on the skin or clothing that may not be visible to the naked eye.</w:t>
      </w:r>
    </w:p>
    <w:p>
      <w:pPr>
        <w:pStyle w:val="BodyText"/>
      </w:pPr>
      <w:r>
        <w:t xml:space="preserve">Q21: Does the absence of physical injury mean that an assault did not occur?</w:t>
      </w:r>
      <w:r>
        <w:t xml:space="preserve"> </w:t>
      </w:r>
      <w:r>
        <w:t xml:space="preserve">A: No; the majority of sexual assault cases do not involve visible physical trauma.</w:t>
      </w:r>
    </w:p>
    <w:p>
      <w:pPr>
        <w:pStyle w:val="BodyText"/>
      </w:pPr>
      <w:r>
        <w:t xml:space="preserve">Q22: Where are the most common sites of injury in a sexual assault?</w:t>
      </w:r>
      <w:r>
        <w:t xml:space="preserve"> </w:t>
      </w:r>
      <w:r>
        <w:t xml:space="preserve">A: The</w:t>
      </w:r>
      <w:r>
        <w:t xml:space="preserve"> </w:t>
      </w:r>
      <w:r>
        <w:t xml:space="preserve">“T-zone”</w:t>
      </w:r>
      <w:r>
        <w:t xml:space="preserve"> </w:t>
      </w:r>
      <w:r>
        <w:t xml:space="preserve">(posterior fourchette, labia minora, and hymen).</w:t>
      </w:r>
    </w:p>
    <w:p>
      <w:pPr>
        <w:pStyle w:val="BodyText"/>
      </w:pPr>
      <w:r>
        <w:t xml:space="preserve">Q23: How should injuries be documented?</w:t>
      </w:r>
      <w:r>
        <w:t xml:space="preserve"> </w:t>
      </w:r>
      <w:r>
        <w:t xml:space="preserve">A: With detailed descriptions and, if consent is given, forensic photography.</w:t>
      </w:r>
    </w:p>
    <w:p>
      <w:pPr>
        <w:pStyle w:val="BodyText"/>
      </w:pPr>
      <w:r>
        <w:t xml:space="preserve">Q24: What is the role of</w:t>
      </w:r>
      <w:r>
        <w:t xml:space="preserve"> </w:t>
      </w:r>
      <w:r>
        <w:t xml:space="preserve">“Toluidine Blue”</w:t>
      </w:r>
      <w:r>
        <w:t xml:space="preserve">?</w:t>
      </w:r>
      <w:r>
        <w:t xml:space="preserve"> </w:t>
      </w:r>
      <w:r>
        <w:t xml:space="preserve">A: A dye used to highlight micro-trauma in the genital area (though its use is decreasing in some protocols).</w:t>
      </w:r>
    </w:p>
    <w:p>
      <w:pPr>
        <w:pStyle w:val="BodyText"/>
      </w:pPr>
      <w:r>
        <w:t xml:space="preserve">Q25: Why are</w:t>
      </w:r>
      <w:r>
        <w:t xml:space="preserve"> </w:t>
      </w:r>
      <w:r>
        <w:t xml:space="preserve">“Oral Swabs”</w:t>
      </w:r>
      <w:r>
        <w:t xml:space="preserve"> </w:t>
      </w:r>
      <w:r>
        <w:t xml:space="preserve">taken if the assault was vaginal?</w:t>
      </w:r>
      <w:r>
        <w:t xml:space="preserve"> </w:t>
      </w:r>
      <w:r>
        <w:t xml:space="preserve">A: To collect DNA from the assailant if oral contact or kissing occurred.</w:t>
      </w:r>
    </w:p>
    <w:p>
      <w:pPr>
        <w:pStyle w:val="BodyText"/>
      </w:pPr>
      <w:r>
        <w:t xml:space="preserve">Q26: How are</w:t>
      </w:r>
      <w:r>
        <w:t xml:space="preserve"> </w:t>
      </w:r>
      <w:r>
        <w:t xml:space="preserve">“Fingernail Scrapings”</w:t>
      </w:r>
      <w:r>
        <w:t xml:space="preserve"> </w:t>
      </w:r>
      <w:r>
        <w:t xml:space="preserve">performed?</w:t>
      </w:r>
      <w:r>
        <w:t xml:space="preserve"> </w:t>
      </w:r>
      <w:r>
        <w:t xml:space="preserve">A: To collect DNA from the assailant if the survivor scratched them during the struggle.</w:t>
      </w:r>
    </w:p>
    <w:p>
      <w:pPr>
        <w:pStyle w:val="BodyText"/>
      </w:pPr>
      <w:r>
        <w:t xml:space="preserve">Q27: What is the</w:t>
      </w:r>
      <w:r>
        <w:t xml:space="preserve"> </w:t>
      </w:r>
      <w:r>
        <w:t xml:space="preserve">“Assailant History”</w:t>
      </w:r>
      <w:r>
        <w:t xml:space="preserve">?</w:t>
      </w:r>
      <w:r>
        <w:t xml:space="preserve"> </w:t>
      </w:r>
      <w:r>
        <w:t xml:space="preserve">A: Collecting details about the assailant’s identity (if known), number of assailants, and any threats used.</w:t>
      </w:r>
    </w:p>
    <w:p>
      <w:pPr>
        <w:pStyle w:val="BodyText"/>
      </w:pPr>
      <w:r>
        <w:t xml:space="preserve">Q28: Should</w:t>
      </w:r>
      <w:r>
        <w:t xml:space="preserve"> </w:t>
      </w:r>
      <w:r>
        <w:t xml:space="preserve">“Pubic Hair Combing”</w:t>
      </w:r>
      <w:r>
        <w:t xml:space="preserve"> </w:t>
      </w:r>
      <w:r>
        <w:t xml:space="preserve">be performed?</w:t>
      </w:r>
      <w:r>
        <w:t xml:space="preserve"> </w:t>
      </w:r>
      <w:r>
        <w:t xml:space="preserve">A: Yes, to collect</w:t>
      </w:r>
      <w:r>
        <w:t xml:space="preserve"> </w:t>
      </w:r>
      <w:r>
        <w:t xml:space="preserve">“foreign”</w:t>
      </w:r>
      <w:r>
        <w:t xml:space="preserve"> </w:t>
      </w:r>
      <w:r>
        <w:t xml:space="preserve">hairs or fibers from the assailant.</w:t>
      </w:r>
    </w:p>
    <w:p>
      <w:pPr>
        <w:pStyle w:val="BodyText"/>
      </w:pPr>
      <w:r>
        <w:t xml:space="preserve">Q29: What is a</w:t>
      </w:r>
      <w:r>
        <w:t xml:space="preserve"> </w:t>
      </w:r>
      <w:r>
        <w:t xml:space="preserve">“Reference Sample”</w:t>
      </w:r>
      <w:r>
        <w:t xml:space="preserve">?</w:t>
      </w:r>
      <w:r>
        <w:t xml:space="preserve"> </w:t>
      </w:r>
      <w:r>
        <w:t xml:space="preserve">A: A DNA sample from the survivor (usually a buccal swab) used to distinguish their DNA from the assailant’s.</w:t>
      </w:r>
    </w:p>
    <w:p>
      <w:pPr>
        <w:pStyle w:val="BodyText"/>
      </w:pPr>
      <w:r>
        <w:t xml:space="preserve">Q30: How is evidence stored?</w:t>
      </w:r>
      <w:r>
        <w:t xml:space="preserve"> </w:t>
      </w:r>
      <w:r>
        <w:t xml:space="preserve">A: In a locked, secure evidence refrigerator or locker before transfer to the crime lab.</w:t>
      </w:r>
    </w:p>
    <w:p>
      <w:pPr>
        <w:pStyle w:val="BodyText"/>
      </w:pPr>
      <w:r>
        <w:t xml:space="preserve">Q31: What is the significance of</w:t>
      </w:r>
      <w:r>
        <w:t xml:space="preserve"> </w:t>
      </w:r>
      <w:r>
        <w:t xml:space="preserve">“Lubricant”</w:t>
      </w:r>
      <w:r>
        <w:t xml:space="preserve"> </w:t>
      </w:r>
      <w:r>
        <w:t xml:space="preserve">use in the history?</w:t>
      </w:r>
      <w:r>
        <w:t xml:space="preserve"> </w:t>
      </w:r>
      <w:r>
        <w:t xml:space="preserve">A: It may explain a lack of genital injury and can be cross-referenced with substances found during the exam.</w:t>
      </w:r>
    </w:p>
    <w:p>
      <w:pPr>
        <w:pStyle w:val="BodyText"/>
      </w:pPr>
      <w:r>
        <w:t xml:space="preserve">Q32: Can a forensic exam be done if the survivor doesn’t want to report to the police immediately?</w:t>
      </w:r>
      <w:r>
        <w:t xml:space="preserve"> </w:t>
      </w:r>
      <w:r>
        <w:t xml:space="preserve">A: Yes,</w:t>
      </w:r>
      <w:r>
        <w:t xml:space="preserve"> </w:t>
      </w:r>
      <w:r>
        <w:t xml:space="preserve">“Anonymous”</w:t>
      </w:r>
      <w:r>
        <w:t xml:space="preserve"> </w:t>
      </w:r>
      <w:r>
        <w:t xml:space="preserve">or</w:t>
      </w:r>
      <w:r>
        <w:t xml:space="preserve"> </w:t>
      </w:r>
      <w:r>
        <w:t xml:space="preserve">“Jane Doe”</w:t>
      </w:r>
      <w:r>
        <w:t xml:space="preserve"> </w:t>
      </w:r>
      <w:r>
        <w:t xml:space="preserve">kits can be collected and stored for a period (e.g., 6-12 months) until the survivor decides.</w:t>
      </w:r>
    </w:p>
    <w:p>
      <w:pPr>
        <w:pStyle w:val="BodyText"/>
      </w:pPr>
      <w:r>
        <w:t xml:space="preserve">Q33: What is the role of the</w:t>
      </w:r>
      <w:r>
        <w:t xml:space="preserve"> </w:t>
      </w:r>
      <w:r>
        <w:t xml:space="preserve">“Colposcope”</w:t>
      </w:r>
      <w:r>
        <w:t xml:space="preserve"> </w:t>
      </w:r>
      <w:r>
        <w:t xml:space="preserve">in a forensic exam?</w:t>
      </w:r>
      <w:r>
        <w:t xml:space="preserve"> </w:t>
      </w:r>
      <w:r>
        <w:t xml:space="preserve">A: To provide magnification for better visualization and photography of subtle genital injuries.</w:t>
      </w:r>
    </w:p>
    <w:p>
      <w:pPr>
        <w:pStyle w:val="BodyText"/>
      </w:pPr>
      <w:r>
        <w:t xml:space="preserve">Q34: Why is it important to ask about</w:t>
      </w:r>
      <w:r>
        <w:t xml:space="preserve"> </w:t>
      </w:r>
      <w:r>
        <w:t xml:space="preserve">“Consensual Activity”</w:t>
      </w:r>
      <w:r>
        <w:t xml:space="preserve"> </w:t>
      </w:r>
      <w:r>
        <w:t xml:space="preserve">in the 72 hours prior?</w:t>
      </w:r>
      <w:r>
        <w:t xml:space="preserve"> </w:t>
      </w:r>
      <w:r>
        <w:t xml:space="preserve">A: To help the crime lab distinguish DNA from a consensual partner versus the assailant.</w:t>
      </w:r>
    </w:p>
    <w:p>
      <w:pPr>
        <w:pStyle w:val="BodyText"/>
      </w:pPr>
      <w:r>
        <w:t xml:space="preserve">Q35: Is a</w:t>
      </w:r>
      <w:r>
        <w:t xml:space="preserve"> </w:t>
      </w:r>
      <w:r>
        <w:t xml:space="preserve">“Speculum Exam”</w:t>
      </w:r>
      <w:r>
        <w:t xml:space="preserve"> </w:t>
      </w:r>
      <w:r>
        <w:t xml:space="preserve">always required?</w:t>
      </w:r>
      <w:r>
        <w:t xml:space="preserve"> </w:t>
      </w:r>
      <w:r>
        <w:t xml:space="preserve">A: Not always; if there is no suspicion of internal injury and the patient is too traumatized, swabs can sometimes be taken externally or blindly.</w:t>
      </w:r>
    </w:p>
    <w:bookmarkEnd w:id="11"/>
    <w:bookmarkStart w:id="12" w:name="q36-q55-emergency-contraception-ec"/>
    <w:p>
      <w:pPr>
        <w:pStyle w:val="Heading3"/>
      </w:pPr>
      <w:r>
        <w:t xml:space="preserve">Q36-Q55: Emergency Contraception (EC)</w:t>
      </w:r>
    </w:p>
    <w:p>
      <w:pPr>
        <w:pStyle w:val="FirstParagraph"/>
      </w:pPr>
      <w:r>
        <w:t xml:space="preserve">Q36: What is the</w:t>
      </w:r>
      <w:r>
        <w:t xml:space="preserve"> </w:t>
      </w:r>
      <w:r>
        <w:t xml:space="preserve">“most effective”</w:t>
      </w:r>
      <w:r>
        <w:t xml:space="preserve"> </w:t>
      </w:r>
      <w:r>
        <w:t xml:space="preserve">form of emergency contraception?</w:t>
      </w:r>
      <w:r>
        <w:t xml:space="preserve"> </w:t>
      </w:r>
      <w:r>
        <w:t xml:space="preserve">A: The Copper IUD (ParaGard) or the Levonorgestrel IUD, if inserted within 5 days of the assault.</w:t>
      </w:r>
    </w:p>
    <w:p>
      <w:pPr>
        <w:pStyle w:val="BodyText"/>
      </w:pPr>
      <w:r>
        <w:t xml:space="preserve">Q37: What is the first-line</w:t>
      </w:r>
      <w:r>
        <w:t xml:space="preserve"> </w:t>
      </w:r>
      <w:r>
        <w:t xml:space="preserve">“oral”</w:t>
      </w:r>
      <w:r>
        <w:t xml:space="preserve"> </w:t>
      </w:r>
      <w:r>
        <w:t xml:space="preserve">EC according to ACOG/CDC for better efficacy?</w:t>
      </w:r>
      <w:r>
        <w:t xml:space="preserve"> </w:t>
      </w:r>
      <w:r>
        <w:t xml:space="preserve">A: Ulipristal acetate (Ella).</w:t>
      </w:r>
    </w:p>
    <w:p>
      <w:pPr>
        <w:pStyle w:val="BodyText"/>
      </w:pPr>
      <w:r>
        <w:t xml:space="preserve">Q38: How does the mechanism of Ulipristal differ from Levonorgestrel?</w:t>
      </w:r>
      <w:r>
        <w:t xml:space="preserve"> </w:t>
      </w:r>
      <w:r>
        <w:t xml:space="preserve">A: Ulipristal is a selective progesterone receptor modulator that can delay ovulation even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LH surge has started; Levonorgestrel cannot.</w:t>
      </w:r>
    </w:p>
    <w:p>
      <w:pPr>
        <w:pStyle w:val="BodyText"/>
      </w:pPr>
      <w:r>
        <w:t xml:space="preserve">Q39: What is the</w:t>
      </w:r>
      <w:r>
        <w:t xml:space="preserve"> </w:t>
      </w:r>
      <w:r>
        <w:t xml:space="preserve">“Window”</w:t>
      </w:r>
      <w:r>
        <w:t xml:space="preserve"> </w:t>
      </w:r>
      <w:r>
        <w:t xml:space="preserve">for taking oral EC?</w:t>
      </w:r>
      <w:r>
        <w:t xml:space="preserve"> </w:t>
      </w:r>
      <w:r>
        <w:t xml:space="preserve">A: Up to 120 hours (5 days), though efficacy decreases over time (especially for Levonorgestrel).</w:t>
      </w:r>
    </w:p>
    <w:p>
      <w:pPr>
        <w:pStyle w:val="BodyText"/>
      </w:pPr>
      <w:r>
        <w:t xml:space="preserve">Q40: Why is Levonorgestrel (Plan B) less effective in patients with a BMI &gt;26 or 30?</w:t>
      </w:r>
      <w:r>
        <w:t xml:space="preserve"> </w:t>
      </w:r>
      <w:r>
        <w:t xml:space="preserve">A: It is sequestered in fat, leading to lower serum levels; Ulipristal is preferred for patients with higher BMI.</w:t>
      </w:r>
    </w:p>
    <w:p>
      <w:pPr>
        <w:pStyle w:val="BodyText"/>
      </w:pPr>
      <w:r>
        <w:t xml:space="preserve">Q41: If a patient takes Ulipristal, when can they restart their regular hormonal birth control?</w:t>
      </w:r>
      <w:r>
        <w:t xml:space="preserve"> </w:t>
      </w:r>
      <w:r>
        <w:t xml:space="preserve">A: They must wait 5 days, as the progesterone in birth control can interfere with Ulipristal (and vice versa).</w:t>
      </w:r>
    </w:p>
    <w:p>
      <w:pPr>
        <w:pStyle w:val="BodyText"/>
      </w:pPr>
      <w:r>
        <w:t xml:space="preserve">Q42: What is the dose of Levonorgestrel for EC?</w:t>
      </w:r>
      <w:r>
        <w:t xml:space="preserve"> </w:t>
      </w:r>
      <w:r>
        <w:t xml:space="preserve">A: 1.5 mg orally (single dose).</w:t>
      </w:r>
    </w:p>
    <w:p>
      <w:pPr>
        <w:pStyle w:val="BodyText"/>
      </w:pPr>
      <w:r>
        <w:t xml:space="preserve">Q43: What is the</w:t>
      </w:r>
      <w:r>
        <w:t xml:space="preserve"> </w:t>
      </w:r>
      <w:r>
        <w:t xml:space="preserve">“Yuzpe Method”</w:t>
      </w:r>
      <w:r>
        <w:t xml:space="preserve">?</w:t>
      </w:r>
      <w:r>
        <w:t xml:space="preserve"> </w:t>
      </w:r>
      <w:r>
        <w:t xml:space="preserve">A: Using multiple standard birth control pills (estrogen + progestin) to achieve an EC effect (rarely used now due to high side effects like nausea).</w:t>
      </w:r>
    </w:p>
    <w:p>
      <w:pPr>
        <w:pStyle w:val="BodyText"/>
      </w:pPr>
      <w:r>
        <w:t xml:space="preserve">Q44: What is the risk of pregnancy after a single act of unprotected intercourse?</w:t>
      </w:r>
      <w:r>
        <w:t xml:space="preserve"> </w:t>
      </w:r>
      <w:r>
        <w:t xml:space="preserve">A: Approximately 5% on average, but up to 25-30% if it occurs during the</w:t>
      </w:r>
      <w:r>
        <w:t xml:space="preserve"> </w:t>
      </w:r>
      <w:r>
        <w:t xml:space="preserve">“fertile window.”</w:t>
      </w:r>
    </w:p>
    <w:p>
      <w:pPr>
        <w:pStyle w:val="BodyText"/>
      </w:pPr>
      <w:r>
        <w:t xml:space="preserve">Q45: Should a pregnancy test be done before giving EC?</w:t>
      </w:r>
      <w:r>
        <w:t xml:space="preserve"> </w:t>
      </w:r>
      <w:r>
        <w:t xml:space="preserve">A: Yes, to ensure the patient is not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pregnant from a previous event.</w:t>
      </w:r>
    </w:p>
    <w:p>
      <w:pPr>
        <w:pStyle w:val="BodyText"/>
      </w:pPr>
      <w:r>
        <w:t xml:space="preserve">Q46: Does EC cause an abortion?</w:t>
      </w:r>
      <w:r>
        <w:t xml:space="preserve"> </w:t>
      </w:r>
      <w:r>
        <w:t xml:space="preserve">A: No, EC works by preventing or delaying ovulation; it does not disrupt an existing pregnancy.</w:t>
      </w:r>
    </w:p>
    <w:p>
      <w:pPr>
        <w:pStyle w:val="BodyText"/>
      </w:pPr>
      <w:r>
        <w:t xml:space="preserve">Q47: Is a prescription required for Levonorgestrel (Plan B)?</w:t>
      </w:r>
      <w:r>
        <w:t xml:space="preserve"> </w:t>
      </w:r>
      <w:r>
        <w:t xml:space="preserve">A: No, it is available over-the-counter for all ages in the US.</w:t>
      </w:r>
    </w:p>
    <w:p>
      <w:pPr>
        <w:pStyle w:val="BodyText"/>
      </w:pPr>
      <w:r>
        <w:t xml:space="preserve">Q48: Is a prescription required for Ulipristal (Ella)?</w:t>
      </w:r>
      <w:r>
        <w:t xml:space="preserve"> </w:t>
      </w:r>
      <w:r>
        <w:t xml:space="preserve">A: Yes, it is a prescription-only medication.</w:t>
      </w:r>
    </w:p>
    <w:p>
      <w:pPr>
        <w:pStyle w:val="BodyText"/>
      </w:pPr>
      <w:r>
        <w:t xml:space="preserve">Q49: What is the most common side effect of oral EC?</w:t>
      </w:r>
      <w:r>
        <w:t xml:space="preserve"> </w:t>
      </w:r>
      <w:r>
        <w:t xml:space="preserve">A: Nausea and vomiting; if vomiting occurs within 2 hours of taking the dose, it should be repeated.</w:t>
      </w:r>
    </w:p>
    <w:p>
      <w:pPr>
        <w:pStyle w:val="BodyText"/>
      </w:pPr>
      <w:r>
        <w:t xml:space="preserve">Q50: Can EC be given if the patient is already in their luteal phase?</w:t>
      </w:r>
      <w:r>
        <w:t xml:space="preserve"> </w:t>
      </w:r>
      <w:r>
        <w:t xml:space="preserve">A: Yes, it is still recommended as the timing of ovulation can be unpredictable.</w:t>
      </w:r>
    </w:p>
    <w:p>
      <w:pPr>
        <w:pStyle w:val="BodyText"/>
      </w:pPr>
      <w:r>
        <w:t xml:space="preserve">Q51: How often can a survivor take EC?</w:t>
      </w:r>
      <w:r>
        <w:t xml:space="preserve"> </w:t>
      </w:r>
      <w:r>
        <w:t xml:space="preserve">A: It can be taken as many times as needed, but it is less effective than regular contraception.</w:t>
      </w:r>
    </w:p>
    <w:p>
      <w:pPr>
        <w:pStyle w:val="BodyText"/>
      </w:pPr>
      <w:r>
        <w:t xml:space="preserve">Q52: Does the Copper IUD have a weight limit for efficacy?</w:t>
      </w:r>
      <w:r>
        <w:t xml:space="preserve"> </w:t>
      </w:r>
      <w:r>
        <w:t xml:space="preserve">A: No, it is equally effective regardless of BMI.</w:t>
      </w:r>
    </w:p>
    <w:p>
      <w:pPr>
        <w:pStyle w:val="BodyText"/>
      </w:pPr>
      <w:r>
        <w:t xml:space="preserve">Q53: What is the main contraindication for the Copper IUD?</w:t>
      </w:r>
      <w:r>
        <w:t xml:space="preserve"> </w:t>
      </w:r>
      <w:r>
        <w:t xml:space="preserve">A: Current pelvic infection or pregnancy.</w:t>
      </w:r>
    </w:p>
    <w:p>
      <w:pPr>
        <w:pStyle w:val="BodyText"/>
      </w:pPr>
      <w:r>
        <w:t xml:space="preserve">Q54: Should the patient be counseled that their next period might be early or late?</w:t>
      </w:r>
      <w:r>
        <w:t xml:space="preserve"> </w:t>
      </w:r>
      <w:r>
        <w:t xml:space="preserve">A: Yes, EC often disrupts the current menstrual cycle.</w:t>
      </w:r>
    </w:p>
    <w:p>
      <w:pPr>
        <w:pStyle w:val="BodyText"/>
      </w:pPr>
      <w:r>
        <w:t xml:space="preserve">Q55: What is the role of Mifepristone in EC?</w:t>
      </w:r>
      <w:r>
        <w:t xml:space="preserve"> </w:t>
      </w:r>
      <w:r>
        <w:t xml:space="preserve">A: In some countries, low-dose Mifepristone is used for EC, but it is not approved for this use in the US.</w:t>
      </w:r>
    </w:p>
    <w:bookmarkEnd w:id="12"/>
    <w:bookmarkStart w:id="13" w:name="Xbb4f43a88796090bc33cb715cb01088ace4aee1"/>
    <w:p>
      <w:pPr>
        <w:pStyle w:val="Heading3"/>
      </w:pPr>
      <w:r>
        <w:t xml:space="preserve">Q56-Q75: Post-Exposure Prophylaxis (PEP) &amp; STIs</w:t>
      </w:r>
    </w:p>
    <w:p>
      <w:pPr>
        <w:pStyle w:val="FirstParagraph"/>
      </w:pPr>
      <w:r>
        <w:t xml:space="preserve">Q56: What is the CDC-recommended</w:t>
      </w:r>
      <w:r>
        <w:t xml:space="preserve"> </w:t>
      </w:r>
      <w:r>
        <w:t xml:space="preserve">“empiric STI”</w:t>
      </w:r>
      <w:r>
        <w:t xml:space="preserve"> </w:t>
      </w:r>
      <w:r>
        <w:t xml:space="preserve">regimen for sexual assault?</w:t>
      </w:r>
      <w:r>
        <w:t xml:space="preserve"> </w:t>
      </w:r>
      <w:r>
        <w:t xml:space="preserve">A: Ceftriaxone 500mg IM + Doxycycline 100mg PO BID for 7 days + Metronidazole 2g PO (single dose).</w:t>
      </w:r>
    </w:p>
    <w:p>
      <w:pPr>
        <w:pStyle w:val="BodyText"/>
      </w:pPr>
      <w:r>
        <w:t xml:space="preserve">Q57: Why is the Ceftriaxone dose 500mg (instead of 250mg)?</w:t>
      </w:r>
      <w:r>
        <w:t xml:space="preserve"> </w:t>
      </w:r>
      <w:r>
        <w:t xml:space="preserve">A: Due to increasing resistance of Neisseria gonorrhoeae.</w:t>
      </w:r>
    </w:p>
    <w:p>
      <w:pPr>
        <w:pStyle w:val="BodyText"/>
      </w:pPr>
      <w:r>
        <w:t xml:space="preserve">Q58: What is the goal of</w:t>
      </w:r>
      <w:r>
        <w:t xml:space="preserve"> </w:t>
      </w:r>
      <w:r>
        <w:t xml:space="preserve">“nPEP”</w:t>
      </w:r>
      <w:r>
        <w:t xml:space="preserve">?</w:t>
      </w:r>
      <w:r>
        <w:t xml:space="preserve"> </w:t>
      </w:r>
      <w:r>
        <w:t xml:space="preserve">A: To prevent HIV infection after a non-occupational exposure (like sexual assault).</w:t>
      </w:r>
    </w:p>
    <w:p>
      <w:pPr>
        <w:pStyle w:val="BodyText"/>
      </w:pPr>
      <w:r>
        <w:t xml:space="preserve">Q59: What is the</w:t>
      </w:r>
      <w:r>
        <w:t xml:space="preserve"> </w:t>
      </w:r>
      <w:r>
        <w:t xml:space="preserve">“Time Window”</w:t>
      </w:r>
      <w:r>
        <w:t xml:space="preserve"> </w:t>
      </w:r>
      <w:r>
        <w:t xml:space="preserve">to start nPEP?</w:t>
      </w:r>
      <w:r>
        <w:t xml:space="preserve"> </w:t>
      </w:r>
      <w:r>
        <w:t xml:space="preserve">A: It must be started within 72 hours of exposure.</w:t>
      </w:r>
    </w:p>
    <w:p>
      <w:pPr>
        <w:pStyle w:val="BodyText"/>
      </w:pPr>
      <w:r>
        <w:t xml:space="preserve">Q60: What is the current</w:t>
      </w:r>
      <w:r>
        <w:t xml:space="preserve"> </w:t>
      </w:r>
      <w:r>
        <w:t xml:space="preserve">“Preferred Regimen”</w:t>
      </w:r>
      <w:r>
        <w:t xml:space="preserve"> </w:t>
      </w:r>
      <w:r>
        <w:t xml:space="preserve">for nPEP in adults?</w:t>
      </w:r>
      <w:r>
        <w:t xml:space="preserve"> </w:t>
      </w:r>
      <w:r>
        <w:t xml:space="preserve">A: Tenofovir DF (300mg) + Emtricitabine (200mg) [Truvada] once daily PLUS Dolutegravir (50mg) [Tivicay] once daily.</w:t>
      </w:r>
    </w:p>
    <w:p>
      <w:pPr>
        <w:pStyle w:val="BodyText"/>
      </w:pPr>
      <w:r>
        <w:t xml:space="preserve">Q61: For how many days is nPEP taken?</w:t>
      </w:r>
      <w:r>
        <w:t xml:space="preserve"> </w:t>
      </w:r>
      <w:r>
        <w:t xml:space="preserve">A: 28 days.</w:t>
      </w:r>
    </w:p>
    <w:p>
      <w:pPr>
        <w:pStyle w:val="BodyText"/>
      </w:pPr>
      <w:r>
        <w:t xml:space="preserve">Q62: What is an alternative to Dolutegravir in the nPEP regimen?</w:t>
      </w:r>
      <w:r>
        <w:t xml:space="preserve"> </w:t>
      </w:r>
      <w:r>
        <w:t xml:space="preserve">A: Raltegravir (Isentress) 400mg BID.</w:t>
      </w:r>
    </w:p>
    <w:p>
      <w:pPr>
        <w:pStyle w:val="BodyText"/>
      </w:pPr>
      <w:r>
        <w:t xml:space="preserve">Q63: What baseline labs are needed before starting nPEP?</w:t>
      </w:r>
      <w:r>
        <w:t xml:space="preserve"> </w:t>
      </w:r>
      <w:r>
        <w:t xml:space="preserve">A: HIV test (4th gen Ag/Ab), Creatinine (for Tenofovir), and Liver Function Tests.</w:t>
      </w:r>
    </w:p>
    <w:p>
      <w:pPr>
        <w:pStyle w:val="BodyText"/>
      </w:pPr>
      <w:r>
        <w:t xml:space="preserve">Q64: Should Hepatitis B vaccination be given?</w:t>
      </w:r>
      <w:r>
        <w:t xml:space="preserve"> </w:t>
      </w:r>
      <w:r>
        <w:t xml:space="preserve">A: Yes, if the survivor is not already immune or vaccinated.</w:t>
      </w:r>
    </w:p>
    <w:p>
      <w:pPr>
        <w:pStyle w:val="BodyText"/>
      </w:pPr>
      <w:r>
        <w:t xml:space="preserve">Q65: Is Hepatitis C prophylaxis given?</w:t>
      </w:r>
      <w:r>
        <w:t xml:space="preserve"> </w:t>
      </w:r>
      <w:r>
        <w:t xml:space="preserve">A: No, PEP is not currently recommended for Hep C; instead, follow-up testing is performed.</w:t>
      </w:r>
    </w:p>
    <w:p>
      <w:pPr>
        <w:pStyle w:val="BodyText"/>
      </w:pPr>
      <w:r>
        <w:t xml:space="preserve">Q66: When should the first follow-up HIV test be performed after finishing nPEP?</w:t>
      </w:r>
      <w:r>
        <w:t xml:space="preserve"> </w:t>
      </w:r>
      <w:r>
        <w:t xml:space="preserve">A: At 4-6 weeks and again at 3 months post-exposure.</w:t>
      </w:r>
    </w:p>
    <w:p>
      <w:pPr>
        <w:pStyle w:val="BodyText"/>
      </w:pPr>
      <w:r>
        <w:t xml:space="preserve">Q67: What is the</w:t>
      </w:r>
      <w:r>
        <w:t xml:space="preserve"> </w:t>
      </w:r>
      <w:r>
        <w:t xml:space="preserve">“window period”</w:t>
      </w:r>
      <w:r>
        <w:t xml:space="preserve"> </w:t>
      </w:r>
      <w:r>
        <w:t xml:space="preserve">for HIV testing?</w:t>
      </w:r>
      <w:r>
        <w:t xml:space="preserve"> </w:t>
      </w:r>
      <w:r>
        <w:t xml:space="preserve">A: The time between infection and when a test can reliably detect it (usually 18-45 days for 4th gen tests).</w:t>
      </w:r>
    </w:p>
    <w:p>
      <w:pPr>
        <w:pStyle w:val="BodyText"/>
      </w:pPr>
      <w:r>
        <w:t xml:space="preserve">Q68: Should the patient be treated for Trichomoniasis?</w:t>
      </w:r>
      <w:r>
        <w:t xml:space="preserve"> </w:t>
      </w:r>
      <w:r>
        <w:t xml:space="preserve">A: Yes, the Metronidazole 2g dose covers Trichomonas.</w:t>
      </w:r>
    </w:p>
    <w:p>
      <w:pPr>
        <w:pStyle w:val="BodyText"/>
      </w:pPr>
      <w:r>
        <w:t xml:space="preserve">Q69: Can nPEP be given to a pregnant patient?</w:t>
      </w:r>
      <w:r>
        <w:t xml:space="preserve"> </w:t>
      </w:r>
      <w:r>
        <w:t xml:space="preserve">A: Yes, though the regimen may be adjusted (e.g., using Raltegravir instead of Dolutegravir in early pregnancy, though Dolutegravir is now generally considered safe).</w:t>
      </w:r>
    </w:p>
    <w:p>
      <w:pPr>
        <w:pStyle w:val="BodyText"/>
      </w:pPr>
      <w:r>
        <w:t xml:space="preserve">Q70: What are the side effects of nPEP?</w:t>
      </w:r>
      <w:r>
        <w:t xml:space="preserve"> </w:t>
      </w:r>
      <w:r>
        <w:t xml:space="preserve">A: Nausea, diarrhea, headache, and fatigue are common; adherence is critical for efficacy.</w:t>
      </w:r>
    </w:p>
    <w:p>
      <w:pPr>
        <w:pStyle w:val="BodyText"/>
      </w:pPr>
      <w:r>
        <w:t xml:space="preserve">Q71: Does empiric treatment cover Syphilis?</w:t>
      </w:r>
      <w:r>
        <w:t xml:space="preserve"> </w:t>
      </w:r>
      <w:r>
        <w:t xml:space="preserve">A: No; Syphilis requires follow-up serology or specific treatment if found.</w:t>
      </w:r>
    </w:p>
    <w:p>
      <w:pPr>
        <w:pStyle w:val="BodyText"/>
      </w:pPr>
      <w:r>
        <w:t xml:space="preserve">Q72: What if the assailant is known to be HIV-negative?</w:t>
      </w:r>
      <w:r>
        <w:t xml:space="preserve"> </w:t>
      </w:r>
      <w:r>
        <w:t xml:space="preserve">A: nPEP is generally not indicated if the source is confirmed HIV-negative.</w:t>
      </w:r>
    </w:p>
    <w:p>
      <w:pPr>
        <w:pStyle w:val="BodyText"/>
      </w:pPr>
      <w:r>
        <w:t xml:space="preserve">Q73: How is the HPV vaccine handled?</w:t>
      </w:r>
      <w:r>
        <w:t xml:space="preserve"> </w:t>
      </w:r>
      <w:r>
        <w:t xml:space="preserve">A: It should be offered to survivors aged 9-26 (and up to 45) if they have not completed the series.</w:t>
      </w:r>
    </w:p>
    <w:p>
      <w:pPr>
        <w:pStyle w:val="BodyText"/>
      </w:pPr>
      <w:r>
        <w:t xml:space="preserve">Q74: What is the role of</w:t>
      </w:r>
      <w:r>
        <w:t xml:space="preserve"> </w:t>
      </w:r>
      <w:r>
        <w:t xml:space="preserve">“Expedited Partner Therapy”</w:t>
      </w:r>
      <w:r>
        <w:t xml:space="preserve"> </w:t>
      </w:r>
      <w:r>
        <w:t xml:space="preserve">(EPT) in this context?</w:t>
      </w:r>
      <w:r>
        <w:t xml:space="preserve"> </w:t>
      </w:r>
      <w:r>
        <w:t xml:space="preserve">A: Not usually applicable, as the partner is the assailant.</w:t>
      </w:r>
    </w:p>
    <w:p>
      <w:pPr>
        <w:pStyle w:val="BodyText"/>
      </w:pPr>
      <w:r>
        <w:t xml:space="preserve">Q75: Is the</w:t>
      </w:r>
      <w:r>
        <w:t xml:space="preserve"> </w:t>
      </w:r>
      <w:r>
        <w:t xml:space="preserve">“Doxy-PEP”</w:t>
      </w:r>
      <w:r>
        <w:t xml:space="preserve"> </w:t>
      </w:r>
      <w:r>
        <w:t xml:space="preserve">(Doxycycline post-exposure) used here?</w:t>
      </w:r>
      <w:r>
        <w:t xml:space="preserve"> </w:t>
      </w:r>
      <w:r>
        <w:t xml:space="preserve">A: Doxycycline is already part of the 7-day empiric treatment for Chlamydia in the standard sexual assault protocol.</w:t>
      </w:r>
    </w:p>
    <w:bookmarkEnd w:id="13"/>
    <w:bookmarkStart w:id="14" w:name="q76-q90-specific-mimics-dfsa"/>
    <w:p>
      <w:pPr>
        <w:pStyle w:val="Heading3"/>
      </w:pPr>
      <w:r>
        <w:t xml:space="preserve">Q76-Q90: Specific Mimics &amp; DFSA</w:t>
      </w:r>
    </w:p>
    <w:p>
      <w:pPr>
        <w:pStyle w:val="FirstParagraph"/>
      </w:pPr>
      <w:r>
        <w:t xml:space="preserve">Q76: What is</w:t>
      </w:r>
      <w:r>
        <w:t xml:space="preserve"> </w:t>
      </w:r>
      <w:r>
        <w:t xml:space="preserve">“Drug-Facilitated Sexual Assault”</w:t>
      </w:r>
      <w:r>
        <w:t xml:space="preserve"> </w:t>
      </w:r>
      <w:r>
        <w:t xml:space="preserve">(DFSA)?</w:t>
      </w:r>
      <w:r>
        <w:t xml:space="preserve"> </w:t>
      </w:r>
      <w:r>
        <w:t xml:space="preserve">A: An assault where drugs or alcohol are used to incapacitate the victim.</w:t>
      </w:r>
    </w:p>
    <w:p>
      <w:pPr>
        <w:pStyle w:val="BodyText"/>
      </w:pPr>
      <w:r>
        <w:t xml:space="preserve">Q77: What is the most common</w:t>
      </w:r>
      <w:r>
        <w:t xml:space="preserve"> </w:t>
      </w:r>
      <w:r>
        <w:t xml:space="preserve">“drug”</w:t>
      </w:r>
      <w:r>
        <w:t xml:space="preserve"> </w:t>
      </w:r>
      <w:r>
        <w:t xml:space="preserve">used in DFSA?</w:t>
      </w:r>
      <w:r>
        <w:t xml:space="preserve"> </w:t>
      </w:r>
      <w:r>
        <w:t xml:space="preserve">A: Alcohol.</w:t>
      </w:r>
    </w:p>
    <w:p>
      <w:pPr>
        <w:pStyle w:val="BodyText"/>
      </w:pPr>
      <w:r>
        <w:t xml:space="preserve">Q78: Name three common</w:t>
      </w:r>
      <w:r>
        <w:t xml:space="preserve"> </w:t>
      </w:r>
      <w:r>
        <w:t xml:space="preserve">“date rape”</w:t>
      </w:r>
      <w:r>
        <w:t xml:space="preserve"> </w:t>
      </w:r>
      <w:r>
        <w:t xml:space="preserve">drugs.</w:t>
      </w:r>
      <w:r>
        <w:t xml:space="preserve"> </w:t>
      </w:r>
      <w:r>
        <w:t xml:space="preserve">A: GHB (Gamma-hydroxybutyrate), Flunitrazepam (Rohypnol), and Ketamine.</w:t>
      </w:r>
    </w:p>
    <w:p>
      <w:pPr>
        <w:pStyle w:val="BodyText"/>
      </w:pPr>
      <w:r>
        <w:t xml:space="preserve">Q79: Why is it difficult to detect GHB in toxicology?</w:t>
      </w:r>
      <w:r>
        <w:t xml:space="preserve"> </w:t>
      </w:r>
      <w:r>
        <w:t xml:space="preserve">A: It has a very short half-life (eliminated from urine in &lt;12 hours).</w:t>
      </w:r>
    </w:p>
    <w:p>
      <w:pPr>
        <w:pStyle w:val="BodyText"/>
      </w:pPr>
      <w:r>
        <w:t xml:space="preserve">Q80: What are the symptoms of Flunitrazepam (Rohypnol)?</w:t>
      </w:r>
      <w:r>
        <w:t xml:space="preserve"> </w:t>
      </w:r>
      <w:r>
        <w:t xml:space="preserve">A: Deep sedation, muscle relaxation, and anterograde amnesia (the</w:t>
      </w:r>
      <w:r>
        <w:t xml:space="preserve"> </w:t>
      </w:r>
      <w:r>
        <w:t xml:space="preserve">“roofie”</w:t>
      </w:r>
      <w:r>
        <w:t xml:space="preserve"> </w:t>
      </w:r>
      <w:r>
        <w:t xml:space="preserve">effect).</w:t>
      </w:r>
    </w:p>
    <w:p>
      <w:pPr>
        <w:pStyle w:val="BodyText"/>
      </w:pPr>
      <w:r>
        <w:t xml:space="preserve">Q81: How should urine be collected for toxicology in DFSA?</w:t>
      </w:r>
      <w:r>
        <w:t xml:space="preserve"> </w:t>
      </w:r>
      <w:r>
        <w:t xml:space="preserve">A: The first void is most critical; it should be collected as soon as possible.</w:t>
      </w:r>
    </w:p>
    <w:p>
      <w:pPr>
        <w:pStyle w:val="BodyText"/>
      </w:pPr>
      <w:r>
        <w:t xml:space="preserve">Q82: Can</w:t>
      </w:r>
      <w:r>
        <w:t xml:space="preserve"> </w:t>
      </w:r>
      <w:r>
        <w:t xml:space="preserve">“Hair”</w:t>
      </w:r>
      <w:r>
        <w:t xml:space="preserve"> </w:t>
      </w:r>
      <w:r>
        <w:t xml:space="preserve">be used for toxicology?</w:t>
      </w:r>
      <w:r>
        <w:t xml:space="preserve"> </w:t>
      </w:r>
      <w:r>
        <w:t xml:space="preserve">A: Yes, hair samples can detect drugs weeks or months later, but they are not part of the acute ED kit.</w:t>
      </w:r>
    </w:p>
    <w:p>
      <w:pPr>
        <w:pStyle w:val="BodyText"/>
      </w:pPr>
      <w:r>
        <w:t xml:space="preserve">Q83: What is</w:t>
      </w:r>
      <w:r>
        <w:t xml:space="preserve"> </w:t>
      </w:r>
      <w:r>
        <w:t xml:space="preserve">“Anterograde Amnesia”</w:t>
      </w:r>
      <w:r>
        <w:t xml:space="preserve">?</w:t>
      </w:r>
      <w:r>
        <w:t xml:space="preserve"> </w:t>
      </w:r>
      <w:r>
        <w:t xml:space="preserve">A: Inability to form new memories after the drug ingestion.</w:t>
      </w:r>
    </w:p>
    <w:p>
      <w:pPr>
        <w:pStyle w:val="BodyText"/>
      </w:pPr>
      <w:r>
        <w:t xml:space="preserve">Q84: What is a</w:t>
      </w:r>
      <w:r>
        <w:t xml:space="preserve"> </w:t>
      </w:r>
      <w:r>
        <w:t xml:space="preserve">“Mimic”</w:t>
      </w:r>
      <w:r>
        <w:t xml:space="preserve"> </w:t>
      </w:r>
      <w:r>
        <w:t xml:space="preserve">of sexual assault injury?</w:t>
      </w:r>
      <w:r>
        <w:t xml:space="preserve"> </w:t>
      </w:r>
      <w:r>
        <w:t xml:space="preserve">A: Lichen sclerosus, accidental trauma (straddle injury), or severe candidiasis.</w:t>
      </w:r>
    </w:p>
    <w:p>
      <w:pPr>
        <w:pStyle w:val="BodyText"/>
      </w:pPr>
      <w:r>
        <w:t xml:space="preserve">Q85: How do you differentiate accidental from non-accidental genital trauma in children?</w:t>
      </w:r>
      <w:r>
        <w:t xml:space="preserve"> </w:t>
      </w:r>
      <w:r>
        <w:t xml:space="preserve">A: Location (accidental is usually external/anterior) and consistency of the history.</w:t>
      </w:r>
    </w:p>
    <w:p>
      <w:pPr>
        <w:pStyle w:val="BodyText"/>
      </w:pPr>
      <w:r>
        <w:t xml:space="preserve">Q86: What is the</w:t>
      </w:r>
      <w:r>
        <w:t xml:space="preserve"> </w:t>
      </w:r>
      <w:r>
        <w:t xml:space="preserve">“Straddle Injury”</w:t>
      </w:r>
      <w:r>
        <w:t xml:space="preserve">?</w:t>
      </w:r>
      <w:r>
        <w:t xml:space="preserve"> </w:t>
      </w:r>
      <w:r>
        <w:t xml:space="preserve">A: Accidental blunt trauma to the perineum (e.g., falling on a bike crossbar).</w:t>
      </w:r>
    </w:p>
    <w:p>
      <w:pPr>
        <w:pStyle w:val="BodyText"/>
      </w:pPr>
      <w:r>
        <w:t xml:space="preserve">Q87: Is a</w:t>
      </w:r>
      <w:r>
        <w:t xml:space="preserve"> </w:t>
      </w:r>
      <w:r>
        <w:t xml:space="preserve">“Hymenal Tear”</w:t>
      </w:r>
      <w:r>
        <w:t xml:space="preserve"> </w:t>
      </w:r>
      <w:r>
        <w:t xml:space="preserve">always proof of sexual assault?</w:t>
      </w:r>
      <w:r>
        <w:t xml:space="preserve"> </w:t>
      </w:r>
      <w:r>
        <w:t xml:space="preserve">A: No, the hymen can be thin or have notches normally, and tears can occur from non-sexual trauma.</w:t>
      </w:r>
    </w:p>
    <w:p>
      <w:pPr>
        <w:pStyle w:val="BodyText"/>
      </w:pPr>
      <w:r>
        <w:t xml:space="preserve">Q88: What is</w:t>
      </w:r>
      <w:r>
        <w:t xml:space="preserve"> </w:t>
      </w:r>
      <w:r>
        <w:t xml:space="preserve">“Synergistic Effect”</w:t>
      </w:r>
      <w:r>
        <w:t xml:space="preserve">?</w:t>
      </w:r>
      <w:r>
        <w:t xml:space="preserve"> </w:t>
      </w:r>
      <w:r>
        <w:t xml:space="preserve">A: When alcohol is combined with another drug (like a benzodiazepine), drastically increasing the level of incapacitation.</w:t>
      </w:r>
    </w:p>
    <w:p>
      <w:pPr>
        <w:pStyle w:val="BodyText"/>
      </w:pPr>
      <w:r>
        <w:t xml:space="preserve">Q89: Should</w:t>
      </w:r>
      <w:r>
        <w:t xml:space="preserve"> </w:t>
      </w:r>
      <w:r>
        <w:t xml:space="preserve">“Gastric Lavage”</w:t>
      </w:r>
      <w:r>
        <w:t xml:space="preserve"> </w:t>
      </w:r>
      <w:r>
        <w:t xml:space="preserve">be performed in DFSA?</w:t>
      </w:r>
      <w:r>
        <w:t xml:space="preserve"> </w:t>
      </w:r>
      <w:r>
        <w:t xml:space="preserve">A: No, it is generally not indicated unless there is a life-threatening overdose.</w:t>
      </w:r>
    </w:p>
    <w:p>
      <w:pPr>
        <w:pStyle w:val="BodyText"/>
      </w:pPr>
      <w:r>
        <w:t xml:space="preserve">Q90: What is the significance of</w:t>
      </w:r>
      <w:r>
        <w:t xml:space="preserve"> </w:t>
      </w:r>
      <w:r>
        <w:t xml:space="preserve">“Sudden sleepiness”</w:t>
      </w:r>
      <w:r>
        <w:t xml:space="preserve"> </w:t>
      </w:r>
      <w:r>
        <w:t xml:space="preserve">or</w:t>
      </w:r>
      <w:r>
        <w:t xml:space="preserve"> </w:t>
      </w:r>
      <w:r>
        <w:t xml:space="preserve">“Loss of motor control”</w:t>
      </w:r>
      <w:r>
        <w:t xml:space="preserve"> </w:t>
      </w:r>
      <w:r>
        <w:t xml:space="preserve">in the history?</w:t>
      </w:r>
      <w:r>
        <w:t xml:space="preserve"> </w:t>
      </w:r>
      <w:r>
        <w:t xml:space="preserve">A: High indicators for sedative-hypnotic drug administration.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What is the</w:t>
      </w:r>
      <w:r>
        <w:t xml:space="preserve"> </w:t>
      </w:r>
      <w:r>
        <w:t xml:space="preserve">“Warm Handoff”</w:t>
      </w:r>
      <w:r>
        <w:t xml:space="preserve">?</w:t>
      </w:r>
      <w:r>
        <w:t xml:space="preserve"> </w:t>
      </w:r>
      <w:r>
        <w:t xml:space="preserve">A: Directly introducing the survivor to an advocate or counselor rather than just giving a phone number.</w:t>
      </w:r>
    </w:p>
    <w:p>
      <w:pPr>
        <w:pStyle w:val="BodyText"/>
      </w:pPr>
      <w:r>
        <w:t xml:space="preserve">Q92: What is</w:t>
      </w:r>
      <w:r>
        <w:t xml:space="preserve"> </w:t>
      </w:r>
      <w:r>
        <w:t xml:space="preserve">“Crisis Intervention”</w:t>
      </w:r>
      <w:r>
        <w:t xml:space="preserve">?</w:t>
      </w:r>
      <w:r>
        <w:t xml:space="preserve"> </w:t>
      </w:r>
      <w:r>
        <w:t xml:space="preserve">A: Immediate short-term help to stabilize the survivor and provide coping mechanisms.</w:t>
      </w:r>
    </w:p>
    <w:p>
      <w:pPr>
        <w:pStyle w:val="BodyText"/>
      </w:pPr>
      <w:r>
        <w:t xml:space="preserve">Q93: What is the risk of</w:t>
      </w:r>
      <w:r>
        <w:t xml:space="preserve"> </w:t>
      </w:r>
      <w:r>
        <w:t xml:space="preserve">“Post-Traumatic Stress Disorder”</w:t>
      </w:r>
      <w:r>
        <w:t xml:space="preserve"> </w:t>
      </w:r>
      <w:r>
        <w:t xml:space="preserve">(PTSD) after sexual assault?</w:t>
      </w:r>
      <w:r>
        <w:t xml:space="preserve"> </w:t>
      </w:r>
      <w:r>
        <w:t xml:space="preserve">A: Very high; approximately 30-50% of survivors may develop PTSD.</w:t>
      </w:r>
    </w:p>
    <w:p>
      <w:pPr>
        <w:pStyle w:val="BodyText"/>
      </w:pPr>
      <w:r>
        <w:t xml:space="preserve">Q94: What should be included in the</w:t>
      </w:r>
      <w:r>
        <w:t xml:space="preserve"> </w:t>
      </w:r>
      <w:r>
        <w:t xml:space="preserve">“Discharge Instructions”</w:t>
      </w:r>
      <w:r>
        <w:t xml:space="preserve">?</w:t>
      </w:r>
      <w:r>
        <w:t xml:space="preserve"> </w:t>
      </w:r>
      <w:r>
        <w:t xml:space="preserve">A: Medication instructions, follow-up dates, safety planning, and resources for counseling.</w:t>
      </w:r>
    </w:p>
    <w:p>
      <w:pPr>
        <w:pStyle w:val="BodyText"/>
      </w:pPr>
      <w:r>
        <w:t xml:space="preserve">Q95: How soon should the first follow-up appointment be scheduled?</w:t>
      </w:r>
      <w:r>
        <w:t xml:space="preserve"> </w:t>
      </w:r>
      <w:r>
        <w:t xml:space="preserve">A: Within 1-2 weeks for psychological support and to check medication adherence/side effects.</w:t>
      </w:r>
    </w:p>
    <w:p>
      <w:pPr>
        <w:pStyle w:val="BodyText"/>
      </w:pPr>
      <w:r>
        <w:t xml:space="preserve">Q96: What is the prognosis for recovery?</w:t>
      </w:r>
      <w:r>
        <w:t xml:space="preserve"> </w:t>
      </w:r>
      <w:r>
        <w:t xml:space="preserve">A: With appropriate medical and psychological support, many survivors can heal, though the process is long and non-linear.</w:t>
      </w:r>
    </w:p>
    <w:p>
      <w:pPr>
        <w:pStyle w:val="BodyText"/>
      </w:pPr>
      <w:r>
        <w:t xml:space="preserve">Q97: Can sexual assault lead to</w:t>
      </w:r>
      <w:r>
        <w:t xml:space="preserve"> </w:t>
      </w:r>
      <w:r>
        <w:t xml:space="preserve">“Chronic Pelvic Pain”</w:t>
      </w:r>
      <w:r>
        <w:t xml:space="preserve">?</w:t>
      </w:r>
      <w:r>
        <w:t xml:space="preserve"> </w:t>
      </w:r>
      <w:r>
        <w:t xml:space="preserve">A: Yes, survivors are at higher risk for somatization and chronic pelvic pain syndromes.</w:t>
      </w:r>
    </w:p>
    <w:p>
      <w:pPr>
        <w:pStyle w:val="BodyText"/>
      </w:pPr>
      <w:r>
        <w:t xml:space="preserve">Q98: What is the</w:t>
      </w:r>
      <w:r>
        <w:t xml:space="preserve"> </w:t>
      </w:r>
      <w:r>
        <w:t xml:space="preserve">“Victim Compensation Fund”</w:t>
      </w:r>
      <w:r>
        <w:t xml:space="preserve">?</w:t>
      </w:r>
      <w:r>
        <w:t xml:space="preserve"> </w:t>
      </w:r>
      <w:r>
        <w:t xml:space="preserve">A: A state-run program that can help cover the costs of medical care and counseling for survivors.</w:t>
      </w:r>
    </w:p>
    <w:p>
      <w:pPr>
        <w:pStyle w:val="BodyText"/>
      </w:pPr>
      <w:r>
        <w:t xml:space="preserve">Q99: Should the survivor be given a copy of the forensic report?</w:t>
      </w:r>
      <w:r>
        <w:t xml:space="preserve"> </w:t>
      </w:r>
      <w:r>
        <w:t xml:space="preserve">A: Usually, the forensic report goes to law enforcement; the survivor is given a summary of their medical care.</w:t>
      </w:r>
    </w:p>
    <w:p>
      <w:pPr>
        <w:pStyle w:val="BodyText"/>
      </w:pPr>
      <w:r>
        <w:t xml:space="preserve">Q100: What is the most important phrase to say to a survivor?</w:t>
      </w:r>
      <w:r>
        <w:t xml:space="preserve"> </w:t>
      </w:r>
      <w:r>
        <w:t xml:space="preserve">A:</w:t>
      </w:r>
      <w:r>
        <w:t xml:space="preserve"> </w:t>
      </w:r>
      <w:r>
        <w:t xml:space="preserve">“I believe you,”</w:t>
      </w:r>
      <w:r>
        <w:t xml:space="preserve"> </w:t>
      </w:r>
      <w:r>
        <w:t xml:space="preserve">and</w:t>
      </w:r>
      <w:r>
        <w:t xml:space="preserve"> </w:t>
      </w:r>
      <w:r>
        <w:t xml:space="preserve">“This was not your fault.”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2026-04-02T22:13:47Z</dcterms:created>
  <dcterms:modified xsi:type="dcterms:W3CDTF">2026-04-02T22:13:47Z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