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E705" w14:textId="77777777" w:rsidR="00BC03E7" w:rsidRDefault="00BC03E7">
      <w:pPr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tbl>
      <w:tblPr>
        <w:tblStyle w:val="a3"/>
        <w:tblW w:w="935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8"/>
        <w:gridCol w:w="1488"/>
        <w:gridCol w:w="1272"/>
        <w:gridCol w:w="216"/>
        <w:gridCol w:w="1487"/>
        <w:gridCol w:w="1488"/>
        <w:gridCol w:w="1488"/>
      </w:tblGrid>
      <w:tr w:rsidR="00BC03E7" w14:paraId="26B15B32" w14:textId="77777777">
        <w:tc>
          <w:tcPr>
            <w:tcW w:w="1918" w:type="dxa"/>
            <w:shd w:val="clear" w:color="auto" w:fill="DEEBF6"/>
          </w:tcPr>
          <w:p w14:paraId="5C1A93CA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Date</w:t>
            </w:r>
          </w:p>
        </w:tc>
        <w:tc>
          <w:tcPr>
            <w:tcW w:w="1488" w:type="dxa"/>
            <w:shd w:val="clear" w:color="auto" w:fill="DEEBF6"/>
          </w:tcPr>
          <w:p w14:paraId="02A498A9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Time</w:t>
            </w:r>
          </w:p>
        </w:tc>
        <w:tc>
          <w:tcPr>
            <w:tcW w:w="1488" w:type="dxa"/>
            <w:gridSpan w:val="2"/>
            <w:shd w:val="clear" w:color="auto" w:fill="DEEBF6"/>
          </w:tcPr>
          <w:p w14:paraId="7F812A90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Class/Set</w:t>
            </w:r>
          </w:p>
        </w:tc>
        <w:tc>
          <w:tcPr>
            <w:tcW w:w="1487" w:type="dxa"/>
            <w:shd w:val="clear" w:color="auto" w:fill="DEEBF6"/>
          </w:tcPr>
          <w:p w14:paraId="194AC5BC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Lesson No</w:t>
            </w:r>
          </w:p>
        </w:tc>
        <w:tc>
          <w:tcPr>
            <w:tcW w:w="1488" w:type="dxa"/>
            <w:shd w:val="clear" w:color="auto" w:fill="DEEBF6"/>
          </w:tcPr>
          <w:p w14:paraId="64908B98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No. in class</w:t>
            </w:r>
          </w:p>
        </w:tc>
        <w:tc>
          <w:tcPr>
            <w:tcW w:w="1488" w:type="dxa"/>
            <w:shd w:val="clear" w:color="auto" w:fill="DEEBF6"/>
          </w:tcPr>
          <w:p w14:paraId="18483F4E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Room</w:t>
            </w:r>
          </w:p>
        </w:tc>
      </w:tr>
      <w:tr w:rsidR="00BC03E7" w14:paraId="50B23927" w14:textId="77777777">
        <w:trPr>
          <w:trHeight w:val="794"/>
        </w:trPr>
        <w:tc>
          <w:tcPr>
            <w:tcW w:w="1918" w:type="dxa"/>
          </w:tcPr>
          <w:p w14:paraId="7D04480E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>26//2/2020</w:t>
            </w:r>
          </w:p>
        </w:tc>
        <w:tc>
          <w:tcPr>
            <w:tcW w:w="1488" w:type="dxa"/>
          </w:tcPr>
          <w:p w14:paraId="284D3873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>1400</w:t>
            </w:r>
          </w:p>
        </w:tc>
        <w:tc>
          <w:tcPr>
            <w:tcW w:w="1488" w:type="dxa"/>
            <w:gridSpan w:val="2"/>
          </w:tcPr>
          <w:p w14:paraId="357B54E4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>8D</w:t>
            </w:r>
          </w:p>
        </w:tc>
        <w:tc>
          <w:tcPr>
            <w:tcW w:w="1487" w:type="dxa"/>
          </w:tcPr>
          <w:p w14:paraId="577482BF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>3</w:t>
            </w:r>
          </w:p>
        </w:tc>
        <w:tc>
          <w:tcPr>
            <w:tcW w:w="1488" w:type="dxa"/>
          </w:tcPr>
          <w:p w14:paraId="2BC8C403" w14:textId="77777777" w:rsidR="00BC03E7" w:rsidRDefault="000006D5">
            <w:pPr>
              <w:pStyle w:val="Heading5"/>
              <w:spacing w:after="240"/>
              <w:outlineLvl w:val="4"/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>Girls: 28</w:t>
            </w:r>
          </w:p>
          <w:p w14:paraId="50146CC6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Boys:</w:t>
            </w:r>
          </w:p>
        </w:tc>
        <w:tc>
          <w:tcPr>
            <w:tcW w:w="1488" w:type="dxa"/>
          </w:tcPr>
          <w:p w14:paraId="3A9DBEEC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u w:val="none"/>
              </w:rPr>
              <w:t>D2</w:t>
            </w:r>
          </w:p>
        </w:tc>
      </w:tr>
      <w:tr w:rsidR="00BC03E7" w14:paraId="2EAF04BE" w14:textId="77777777">
        <w:tc>
          <w:tcPr>
            <w:tcW w:w="9357" w:type="dxa"/>
            <w:gridSpan w:val="7"/>
            <w:shd w:val="clear" w:color="auto" w:fill="DEEBF6"/>
          </w:tcPr>
          <w:p w14:paraId="604769B4" w14:textId="77777777" w:rsidR="00BC03E7" w:rsidRDefault="000006D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Your targets from weekly training meeting relevant to this lesson</w:t>
            </w:r>
          </w:p>
        </w:tc>
      </w:tr>
      <w:tr w:rsidR="00BC03E7" w14:paraId="74EF7E9D" w14:textId="77777777">
        <w:trPr>
          <w:trHeight w:val="1134"/>
        </w:trPr>
        <w:tc>
          <w:tcPr>
            <w:tcW w:w="9357" w:type="dxa"/>
            <w:gridSpan w:val="7"/>
          </w:tcPr>
          <w:p w14:paraId="0B55CB83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 maintain a good pace throughout the lesson</w:t>
            </w:r>
          </w:p>
          <w:p w14:paraId="756D15F0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 low level disruption by putting strategies in place in lessons to monitor this.</w:t>
            </w:r>
          </w:p>
        </w:tc>
      </w:tr>
      <w:tr w:rsidR="00BC03E7" w14:paraId="01759CF3" w14:textId="77777777">
        <w:trPr>
          <w:trHeight w:val="553"/>
        </w:trPr>
        <w:tc>
          <w:tcPr>
            <w:tcW w:w="9357" w:type="dxa"/>
            <w:gridSpan w:val="7"/>
            <w:shd w:val="clear" w:color="auto" w:fill="DEEBF6"/>
            <w:vAlign w:val="center"/>
          </w:tcPr>
          <w:p w14:paraId="22D93291" w14:textId="77777777" w:rsidR="00BC03E7" w:rsidRDefault="000006D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Background of the class context of your teaching and learning plan and your expectations</w:t>
            </w:r>
          </w:p>
        </w:tc>
      </w:tr>
      <w:tr w:rsidR="00BC03E7" w14:paraId="1D41AD61" w14:textId="77777777">
        <w:trPr>
          <w:trHeight w:val="1823"/>
        </w:trPr>
        <w:tc>
          <w:tcPr>
            <w:tcW w:w="4678" w:type="dxa"/>
            <w:gridSpan w:val="3"/>
          </w:tcPr>
          <w:p w14:paraId="1812D991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Targeted Support: n/a</w:t>
            </w:r>
          </w:p>
        </w:tc>
        <w:tc>
          <w:tcPr>
            <w:tcW w:w="4679" w:type="dxa"/>
            <w:gridSpan w:val="4"/>
          </w:tcPr>
          <w:p w14:paraId="26314780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Additional Adults:</w:t>
            </w:r>
          </w:p>
          <w:p w14:paraId="4B90C4D7" w14:textId="77777777" w:rsidR="00BC03E7" w:rsidRDefault="00BC03E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BDC4B4E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Malik - Head of Department</w:t>
            </w:r>
          </w:p>
        </w:tc>
      </w:tr>
      <w:tr w:rsidR="00BC03E7" w14:paraId="098944C6" w14:textId="77777777">
        <w:trPr>
          <w:trHeight w:val="275"/>
        </w:trPr>
        <w:tc>
          <w:tcPr>
            <w:tcW w:w="9357" w:type="dxa"/>
            <w:gridSpan w:val="7"/>
            <w:shd w:val="clear" w:color="auto" w:fill="DEEBF6"/>
          </w:tcPr>
          <w:p w14:paraId="7BA524FF" w14:textId="77777777" w:rsidR="00BC03E7" w:rsidRDefault="000006D5">
            <w:pPr>
              <w:pStyle w:val="Heading5"/>
              <w:outlineLvl w:val="4"/>
              <w:rPr>
                <w:rFonts w:ascii="Arial" w:eastAsia="Arial" w:hAnsi="Arial" w:cs="Arial"/>
                <w:sz w:val="22"/>
                <w:szCs w:val="22"/>
                <w:u w:val="none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none"/>
              </w:rPr>
              <w:t>Relevant Curriculum Statements</w:t>
            </w:r>
          </w:p>
        </w:tc>
      </w:tr>
      <w:tr w:rsidR="00BC03E7" w14:paraId="5CF01D4E" w14:textId="77777777">
        <w:trPr>
          <w:trHeight w:val="1271"/>
        </w:trPr>
        <w:tc>
          <w:tcPr>
            <w:tcW w:w="9357" w:type="dxa"/>
            <w:gridSpan w:val="7"/>
          </w:tcPr>
          <w:p w14:paraId="72201666" w14:textId="77777777" w:rsidR="00BC03E7" w:rsidRDefault="00000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B0C0C"/>
                <w:sz w:val="29"/>
                <w:szCs w:val="29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Pure and impure substances, </w:t>
            </w:r>
            <w:r>
              <w:rPr>
                <w:rFonts w:ascii="Arial" w:eastAsia="Arial" w:hAnsi="Arial" w:cs="Arial"/>
                <w:sz w:val="22"/>
                <w:szCs w:val="22"/>
              </w:rPr>
              <w:t>mixtures, including dissolving</w:t>
            </w:r>
          </w:p>
          <w:p w14:paraId="54084947" w14:textId="77777777" w:rsidR="00BC03E7" w:rsidRDefault="00BC03E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03E7" w14:paraId="7B017924" w14:textId="77777777">
        <w:tc>
          <w:tcPr>
            <w:tcW w:w="9357" w:type="dxa"/>
            <w:gridSpan w:val="7"/>
            <w:shd w:val="clear" w:color="auto" w:fill="DEEBF6"/>
          </w:tcPr>
          <w:p w14:paraId="02A1247D" w14:textId="77777777" w:rsidR="00BC03E7" w:rsidRDefault="000006D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Pre-supposed knowledge / Possible Concepts / Misconceptions / Alternative Ideas</w:t>
            </w:r>
          </w:p>
        </w:tc>
      </w:tr>
      <w:tr w:rsidR="00BC03E7" w14:paraId="1E413966" w14:textId="77777777">
        <w:trPr>
          <w:trHeight w:val="1211"/>
        </w:trPr>
        <w:tc>
          <w:tcPr>
            <w:tcW w:w="9357" w:type="dxa"/>
            <w:gridSpan w:val="7"/>
            <w:tcBorders>
              <w:bottom w:val="single" w:sz="4" w:space="0" w:color="000000"/>
            </w:tcBorders>
          </w:tcPr>
          <w:p w14:paraId="029160F5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Pupils may not understand the differences between solutes, solvents and solutions</w:t>
            </w:r>
          </w:p>
        </w:tc>
      </w:tr>
      <w:tr w:rsidR="00BC03E7" w14:paraId="0D239E62" w14:textId="77777777">
        <w:trPr>
          <w:trHeight w:val="22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14:paraId="4743BFD8" w14:textId="77777777" w:rsidR="00BC03E7" w:rsidRDefault="000006D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Learning points:</w:t>
            </w:r>
          </w:p>
        </w:tc>
      </w:tr>
      <w:tr w:rsidR="00BC03E7" w14:paraId="04AAC66C" w14:textId="77777777">
        <w:trPr>
          <w:trHeight w:val="76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D212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   describe solutions using key words - solutes, solvents and solutions</w:t>
            </w:r>
          </w:p>
        </w:tc>
      </w:tr>
      <w:tr w:rsidR="00BC03E7" w14:paraId="37056153" w14:textId="77777777">
        <w:trPr>
          <w:trHeight w:val="76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D475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  </w:t>
            </w:r>
            <w:r>
              <w:rPr>
                <w:rFonts w:ascii="Arial" w:eastAsia="Arial" w:hAnsi="Arial" w:cs="Arial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Explain the idea of conservation of mass in a solution</w:t>
            </w:r>
          </w:p>
        </w:tc>
      </w:tr>
      <w:tr w:rsidR="00BC03E7" w14:paraId="3CDB294B" w14:textId="77777777">
        <w:trPr>
          <w:trHeight w:val="76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3784E" w14:textId="77777777" w:rsidR="00BC03E7" w:rsidRDefault="000006D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</w:tbl>
    <w:p w14:paraId="3ECBFDBC" w14:textId="77777777" w:rsidR="00BC03E7" w:rsidRDefault="00BC03E7">
      <w:pPr>
        <w:rPr>
          <w:rFonts w:ascii="Calibri" w:eastAsia="Calibri" w:hAnsi="Calibri" w:cs="Calibri"/>
        </w:rPr>
      </w:pPr>
    </w:p>
    <w:p w14:paraId="32D1E6D2" w14:textId="77777777" w:rsidR="00BC03E7" w:rsidRDefault="00BC03E7">
      <w:pPr>
        <w:rPr>
          <w:rFonts w:ascii="Calibri" w:eastAsia="Calibri" w:hAnsi="Calibri" w:cs="Calibri"/>
        </w:rPr>
      </w:pPr>
    </w:p>
    <w:p w14:paraId="3990D1BE" w14:textId="77777777" w:rsidR="00BC03E7" w:rsidRDefault="000006D5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tbl>
      <w:tblPr>
        <w:tblStyle w:val="a4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394"/>
        <w:gridCol w:w="4394"/>
      </w:tblGrid>
      <w:tr w:rsidR="00BC03E7" w14:paraId="6EAB7DAE" w14:textId="77777777">
        <w:tc>
          <w:tcPr>
            <w:tcW w:w="959" w:type="dxa"/>
            <w:shd w:val="clear" w:color="auto" w:fill="DEEBF6"/>
          </w:tcPr>
          <w:p w14:paraId="03CB3C7F" w14:textId="77777777" w:rsidR="00BC03E7" w:rsidRDefault="000006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Time</w:t>
            </w:r>
          </w:p>
        </w:tc>
        <w:tc>
          <w:tcPr>
            <w:tcW w:w="4394" w:type="dxa"/>
            <w:shd w:val="clear" w:color="auto" w:fill="DEEBF6"/>
          </w:tcPr>
          <w:p w14:paraId="26DC78C7" w14:textId="77777777" w:rsidR="00BC03E7" w:rsidRDefault="000006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Teacher Activity</w:t>
            </w:r>
          </w:p>
          <w:p w14:paraId="73123D50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What are you doing? Additional adults in room?</w:t>
            </w:r>
          </w:p>
        </w:tc>
        <w:tc>
          <w:tcPr>
            <w:tcW w:w="4394" w:type="dxa"/>
            <w:shd w:val="clear" w:color="auto" w:fill="DEEBF6"/>
          </w:tcPr>
          <w:p w14:paraId="1DC709CB" w14:textId="77777777" w:rsidR="00BC03E7" w:rsidRDefault="000006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Pupil Activity</w:t>
            </w:r>
          </w:p>
          <w:p w14:paraId="77CF8197" w14:textId="77777777" w:rsidR="00BC03E7" w:rsidRDefault="000006D5">
            <w:pPr>
              <w:rPr>
                <w:rFonts w:ascii="Arial" w:eastAsia="Arial" w:hAnsi="Arial" w:cs="Arial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</w:rPr>
              <w:t xml:space="preserve">What are the pupils doing? </w:t>
            </w:r>
            <w:r>
              <w:rPr>
                <w:rFonts w:ascii="Arial" w:eastAsia="Arial" w:hAnsi="Arial" w:cs="Arial"/>
                <w:b/>
              </w:rPr>
              <w:t>Evidence of progress? Refer to Learning Points.</w:t>
            </w:r>
          </w:p>
        </w:tc>
      </w:tr>
      <w:tr w:rsidR="00BC03E7" w14:paraId="72CF241E" w14:textId="77777777">
        <w:trPr>
          <w:trHeight w:val="1191"/>
        </w:trPr>
        <w:tc>
          <w:tcPr>
            <w:tcW w:w="959" w:type="dxa"/>
          </w:tcPr>
          <w:p w14:paraId="440177EB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1400</w:t>
            </w:r>
          </w:p>
        </w:tc>
        <w:tc>
          <w:tcPr>
            <w:tcW w:w="4394" w:type="dxa"/>
          </w:tcPr>
          <w:p w14:paraId="07624805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Stand by the door and welcome the pupils - once they are at their desks, ask them to get their books out. </w:t>
            </w:r>
          </w:p>
          <w:p w14:paraId="60718C88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Starter activity - quick quiz for pupils to recap knowledge from previous lessons.</w:t>
            </w:r>
          </w:p>
        </w:tc>
        <w:tc>
          <w:tcPr>
            <w:tcW w:w="4394" w:type="dxa"/>
          </w:tcPr>
          <w:p w14:paraId="7F291764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Pupils entering classroom, sitting down, writing in title  and get</w:t>
            </w:r>
            <w:r>
              <w:rPr>
                <w:rFonts w:ascii="Arial" w:eastAsia="Arial" w:hAnsi="Arial" w:cs="Arial"/>
              </w:rPr>
              <w:t>ting on with the starter.</w:t>
            </w:r>
          </w:p>
          <w:p w14:paraId="66735D4C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Pupils recapping previous knowledge and reinforcing learning from previous lessons.</w:t>
            </w:r>
          </w:p>
        </w:tc>
      </w:tr>
      <w:tr w:rsidR="00BC03E7" w14:paraId="142AD1A4" w14:textId="77777777">
        <w:trPr>
          <w:trHeight w:val="1191"/>
        </w:trPr>
        <w:tc>
          <w:tcPr>
            <w:tcW w:w="959" w:type="dxa"/>
          </w:tcPr>
          <w:p w14:paraId="0FA9883D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1405</w:t>
            </w:r>
          </w:p>
        </w:tc>
        <w:tc>
          <w:tcPr>
            <w:tcW w:w="4394" w:type="dxa"/>
          </w:tcPr>
          <w:p w14:paraId="75DC5104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through answers to quiz - direct questions to individual pupils</w:t>
            </w:r>
          </w:p>
        </w:tc>
        <w:tc>
          <w:tcPr>
            <w:tcW w:w="4394" w:type="dxa"/>
          </w:tcPr>
          <w:p w14:paraId="201D03E3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Pupils answering targeted questions from the quiz - again reinforcing ho</w:t>
            </w:r>
            <w:r>
              <w:rPr>
                <w:rFonts w:ascii="Arial" w:eastAsia="Arial" w:hAnsi="Arial" w:cs="Arial"/>
              </w:rPr>
              <w:t>pefully reinforcing prior knowledge</w:t>
            </w:r>
          </w:p>
        </w:tc>
      </w:tr>
      <w:tr w:rsidR="00BC03E7" w14:paraId="0025EEC1" w14:textId="77777777">
        <w:trPr>
          <w:trHeight w:val="1191"/>
        </w:trPr>
        <w:tc>
          <w:tcPr>
            <w:tcW w:w="959" w:type="dxa"/>
          </w:tcPr>
          <w:p w14:paraId="49B94091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1410</w:t>
            </w:r>
          </w:p>
        </w:tc>
        <w:tc>
          <w:tcPr>
            <w:tcW w:w="4394" w:type="dxa"/>
          </w:tcPr>
          <w:p w14:paraId="62EED929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will explain solutes, solvents and solutions using the bath bomb analogy. I will then get pupils to pass round a handout to fill in.</w:t>
            </w:r>
          </w:p>
          <w:p w14:paraId="000DD59C" w14:textId="77777777" w:rsidR="00BC03E7" w:rsidRDefault="00BC03E7">
            <w:pPr>
              <w:rPr>
                <w:rFonts w:ascii="Arial" w:eastAsia="Arial" w:hAnsi="Arial" w:cs="Arial"/>
              </w:rPr>
            </w:pPr>
          </w:p>
        </w:tc>
        <w:tc>
          <w:tcPr>
            <w:tcW w:w="4394" w:type="dxa"/>
          </w:tcPr>
          <w:p w14:paraId="2DC881BD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Pupils answering questions on the handout. This will hopefully get them beginning to </w:t>
            </w:r>
            <w:proofErr w:type="spellStart"/>
            <w:r>
              <w:rPr>
                <w:rFonts w:ascii="Arial" w:eastAsia="Arial" w:hAnsi="Arial" w:cs="Arial"/>
              </w:rPr>
              <w:t>realise</w:t>
            </w:r>
            <w:proofErr w:type="spellEnd"/>
            <w:r>
              <w:rPr>
                <w:rFonts w:ascii="Arial" w:eastAsia="Arial" w:hAnsi="Arial" w:cs="Arial"/>
              </w:rPr>
              <w:t xml:space="preserve"> the difference between solutes, solvents and solutions LP1</w:t>
            </w:r>
          </w:p>
        </w:tc>
      </w:tr>
      <w:tr w:rsidR="00BC03E7" w14:paraId="5919FB12" w14:textId="77777777">
        <w:trPr>
          <w:trHeight w:val="1191"/>
        </w:trPr>
        <w:tc>
          <w:tcPr>
            <w:tcW w:w="959" w:type="dxa"/>
          </w:tcPr>
          <w:p w14:paraId="4A4520FA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1415</w:t>
            </w:r>
          </w:p>
        </w:tc>
        <w:tc>
          <w:tcPr>
            <w:tcW w:w="4394" w:type="dxa"/>
          </w:tcPr>
          <w:p w14:paraId="590EFFDF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will explain the idea of the conservation of mass in solutions and then pass out a handout for p</w:t>
            </w:r>
            <w:r>
              <w:rPr>
                <w:rFonts w:ascii="Arial" w:eastAsia="Arial" w:hAnsi="Arial" w:cs="Arial"/>
              </w:rPr>
              <w:t>upils to complete</w:t>
            </w:r>
          </w:p>
          <w:p w14:paraId="2F7AE933" w14:textId="77777777" w:rsidR="00BC03E7" w:rsidRDefault="00BC03E7">
            <w:pPr>
              <w:rPr>
                <w:rFonts w:ascii="Arial" w:eastAsia="Arial" w:hAnsi="Arial" w:cs="Arial"/>
              </w:rPr>
            </w:pPr>
          </w:p>
        </w:tc>
        <w:tc>
          <w:tcPr>
            <w:tcW w:w="4394" w:type="dxa"/>
          </w:tcPr>
          <w:p w14:paraId="1951258B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Pupils answering questions on the handout about conservation of mass in a solution. - hopefully beginning to understand LP2</w:t>
            </w:r>
          </w:p>
        </w:tc>
      </w:tr>
      <w:tr w:rsidR="00BC03E7" w14:paraId="7EEC4F50" w14:textId="77777777">
        <w:trPr>
          <w:trHeight w:val="1191"/>
        </w:trPr>
        <w:tc>
          <w:tcPr>
            <w:tcW w:w="959" w:type="dxa"/>
          </w:tcPr>
          <w:p w14:paraId="54C1B682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1420</w:t>
            </w:r>
          </w:p>
        </w:tc>
        <w:tc>
          <w:tcPr>
            <w:tcW w:w="4394" w:type="dxa"/>
          </w:tcPr>
          <w:p w14:paraId="26837251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Practical  - from </w:t>
            </w:r>
            <w:proofErr w:type="spellStart"/>
            <w:r>
              <w:rPr>
                <w:rFonts w:ascii="Arial" w:eastAsia="Arial" w:hAnsi="Arial" w:cs="Arial"/>
              </w:rPr>
              <w:t>Kerboodle</w:t>
            </w:r>
            <w:proofErr w:type="spellEnd"/>
            <w:r>
              <w:rPr>
                <w:rFonts w:ascii="Arial" w:eastAsia="Arial" w:hAnsi="Arial" w:cs="Arial"/>
              </w:rPr>
              <w:t xml:space="preserve"> - C2 2.2 - I will explain what to do, groups that they will be working in, safe</w:t>
            </w:r>
            <w:r>
              <w:rPr>
                <w:rFonts w:ascii="Arial" w:eastAsia="Arial" w:hAnsi="Arial" w:cs="Arial"/>
              </w:rPr>
              <w:t>ty and how to divide up tasks between the group. Pupils will also have timers to make sure they are on track timewise</w:t>
            </w:r>
          </w:p>
        </w:tc>
        <w:tc>
          <w:tcPr>
            <w:tcW w:w="4394" w:type="dxa"/>
          </w:tcPr>
          <w:p w14:paraId="1BC56625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Pupils identifying solute and solvent and whether a solution is formed. Reinforcing LP1 Pupils then drawing a graph and answering question</w:t>
            </w:r>
            <w:r>
              <w:rPr>
                <w:rFonts w:ascii="Arial" w:eastAsia="Arial" w:hAnsi="Arial" w:cs="Arial"/>
              </w:rPr>
              <w:t>s relating to LP2</w:t>
            </w:r>
          </w:p>
        </w:tc>
      </w:tr>
      <w:tr w:rsidR="00BC03E7" w14:paraId="1DB96725" w14:textId="77777777">
        <w:trPr>
          <w:trHeight w:val="1191"/>
        </w:trPr>
        <w:tc>
          <w:tcPr>
            <w:tcW w:w="959" w:type="dxa"/>
          </w:tcPr>
          <w:p w14:paraId="4AABA0E7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1445</w:t>
            </w:r>
          </w:p>
        </w:tc>
        <w:tc>
          <w:tcPr>
            <w:tcW w:w="4394" w:type="dxa"/>
          </w:tcPr>
          <w:p w14:paraId="3548AD0A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will ask pupils to tidy up and then get on with the questions on the back of the practical handout - Differentiated graphs</w:t>
            </w:r>
          </w:p>
        </w:tc>
        <w:tc>
          <w:tcPr>
            <w:tcW w:w="4394" w:type="dxa"/>
          </w:tcPr>
          <w:p w14:paraId="40231A6C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Pupils answering questions on the worksheet</w:t>
            </w:r>
          </w:p>
        </w:tc>
      </w:tr>
      <w:tr w:rsidR="00BC03E7" w14:paraId="560985ED" w14:textId="77777777">
        <w:trPr>
          <w:trHeight w:val="1191"/>
        </w:trPr>
        <w:tc>
          <w:tcPr>
            <w:tcW w:w="959" w:type="dxa"/>
          </w:tcPr>
          <w:p w14:paraId="6CB6BBF9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1450</w:t>
            </w:r>
          </w:p>
        </w:tc>
        <w:tc>
          <w:tcPr>
            <w:tcW w:w="4394" w:type="dxa"/>
          </w:tcPr>
          <w:p w14:paraId="39562EE0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Plenary - I will ask pupils to work out which is the solu</w:t>
            </w:r>
            <w:r>
              <w:rPr>
                <w:rFonts w:ascii="Arial" w:eastAsia="Arial" w:hAnsi="Arial" w:cs="Arial"/>
              </w:rPr>
              <w:t>te, solvent and solution from the final slide</w:t>
            </w:r>
          </w:p>
        </w:tc>
        <w:tc>
          <w:tcPr>
            <w:tcW w:w="4394" w:type="dxa"/>
          </w:tcPr>
          <w:p w14:paraId="3A51251C" w14:textId="77777777" w:rsidR="00BC03E7" w:rsidRDefault="00BC03E7">
            <w:pPr>
              <w:rPr>
                <w:rFonts w:ascii="Arial" w:eastAsia="Arial" w:hAnsi="Arial" w:cs="Arial"/>
              </w:rPr>
            </w:pPr>
          </w:p>
        </w:tc>
      </w:tr>
      <w:tr w:rsidR="00BC03E7" w14:paraId="23F94CCA" w14:textId="77777777">
        <w:trPr>
          <w:trHeight w:val="990"/>
        </w:trPr>
        <w:tc>
          <w:tcPr>
            <w:tcW w:w="9747" w:type="dxa"/>
            <w:gridSpan w:val="3"/>
          </w:tcPr>
          <w:p w14:paraId="4663BE5F" w14:textId="77777777" w:rsidR="00BC03E7" w:rsidRDefault="000006D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Evidence of Pupil Progress</w:t>
            </w:r>
          </w:p>
          <w:p w14:paraId="7B8B2437" w14:textId="77777777" w:rsidR="00BC03E7" w:rsidRDefault="000006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Pupils able to identify solute, solvent and solution during plenary and by being able to answer handout on conservation of mass in a solution</w:t>
            </w:r>
          </w:p>
        </w:tc>
      </w:tr>
    </w:tbl>
    <w:p w14:paraId="2E03B022" w14:textId="77777777" w:rsidR="00BC03E7" w:rsidRDefault="00BC03E7"/>
    <w:tbl>
      <w:tblPr>
        <w:tblStyle w:val="a5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47"/>
      </w:tblGrid>
      <w:tr w:rsidR="00BC03E7" w14:paraId="12ED76A0" w14:textId="77777777">
        <w:trPr>
          <w:trHeight w:val="1130"/>
        </w:trPr>
        <w:tc>
          <w:tcPr>
            <w:tcW w:w="9747" w:type="dxa"/>
          </w:tcPr>
          <w:p w14:paraId="5E88DE84" w14:textId="77777777" w:rsidR="00BC03E7" w:rsidRDefault="000006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Resources needed:  </w:t>
            </w:r>
          </w:p>
          <w:p w14:paraId="43CD69CF" w14:textId="77777777" w:rsidR="00BC03E7" w:rsidRDefault="000006D5">
            <w:pPr>
              <w:pStyle w:val="Heading5"/>
              <w:outlineLvl w:val="4"/>
              <w:rPr>
                <w:rFonts w:ascii="Calibri" w:eastAsia="Calibri" w:hAnsi="Calibri" w:cs="Calibri"/>
                <w:sz w:val="20"/>
                <w:u w:val="none"/>
              </w:rPr>
            </w:pPr>
            <w:r>
              <w:rPr>
                <w:rFonts w:ascii="Calibri" w:eastAsia="Calibri" w:hAnsi="Calibri" w:cs="Calibri"/>
                <w:sz w:val="20"/>
                <w:u w:val="none"/>
              </w:rPr>
              <w:t>Practical equipment for Solutions practical, nail varnish, marker pen, sand - water, oil and propanol - dimple tray.</w:t>
            </w:r>
          </w:p>
          <w:p w14:paraId="3A610DB4" w14:textId="77777777" w:rsidR="00BC03E7" w:rsidRDefault="000006D5">
            <w:r>
              <w:t>Goggles,</w:t>
            </w:r>
          </w:p>
          <w:p w14:paraId="3857949F" w14:textId="77777777" w:rsidR="00BC03E7" w:rsidRDefault="00BC03E7"/>
        </w:tc>
      </w:tr>
      <w:tr w:rsidR="00BC03E7" w14:paraId="6C77C131" w14:textId="77777777">
        <w:trPr>
          <w:trHeight w:val="1118"/>
        </w:trPr>
        <w:tc>
          <w:tcPr>
            <w:tcW w:w="9747" w:type="dxa"/>
          </w:tcPr>
          <w:p w14:paraId="3AEC89F4" w14:textId="77777777" w:rsidR="00BC03E7" w:rsidRDefault="000006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Health and Safety issues and Risk Assessment</w:t>
            </w:r>
            <w:r>
              <w:rPr>
                <w:rFonts w:ascii="Calibri" w:eastAsia="Calibri" w:hAnsi="Calibri" w:cs="Calibri"/>
              </w:rPr>
              <w:t>:</w:t>
            </w:r>
          </w:p>
          <w:p w14:paraId="1F752777" w14:textId="77777777" w:rsidR="00BC03E7" w:rsidRDefault="000006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minimal - ensure pupils behaving calmly during practical, wearing goggles</w:t>
            </w:r>
          </w:p>
        </w:tc>
      </w:tr>
      <w:tr w:rsidR="00BC03E7" w14:paraId="26201AAB" w14:textId="77777777">
        <w:trPr>
          <w:trHeight w:val="1231"/>
        </w:trPr>
        <w:tc>
          <w:tcPr>
            <w:tcW w:w="9747" w:type="dxa"/>
          </w:tcPr>
          <w:p w14:paraId="493B6126" w14:textId="77777777" w:rsidR="00BC03E7" w:rsidRDefault="000006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Homework set: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60ABB76" w14:textId="77777777" w:rsidR="00BC03E7" w:rsidRDefault="000006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  <w:p w14:paraId="64C64A5F" w14:textId="77777777" w:rsidR="00BC03E7" w:rsidRDefault="00BC03E7">
            <w:pPr>
              <w:rPr>
                <w:rFonts w:ascii="Calibri" w:eastAsia="Calibri" w:hAnsi="Calibri" w:cs="Calibri"/>
              </w:rPr>
            </w:pPr>
          </w:p>
        </w:tc>
      </w:tr>
    </w:tbl>
    <w:p w14:paraId="38ABEB23" w14:textId="77777777" w:rsidR="00BC03E7" w:rsidRDefault="00BC03E7"/>
    <w:sectPr w:rsidR="00BC03E7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C7D70" w14:textId="77777777" w:rsidR="000006D5" w:rsidRDefault="000006D5">
      <w:r>
        <w:separator/>
      </w:r>
    </w:p>
  </w:endnote>
  <w:endnote w:type="continuationSeparator" w:id="0">
    <w:p w14:paraId="5471C531" w14:textId="77777777" w:rsidR="000006D5" w:rsidRDefault="0000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F6981" w14:textId="77777777" w:rsidR="000006D5" w:rsidRDefault="000006D5">
      <w:r>
        <w:separator/>
      </w:r>
    </w:p>
  </w:footnote>
  <w:footnote w:type="continuationSeparator" w:id="0">
    <w:p w14:paraId="72CC5CCB" w14:textId="77777777" w:rsidR="000006D5" w:rsidRDefault="00000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AD290" w14:textId="77777777" w:rsidR="00BC03E7" w:rsidRDefault="000006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  <w:sz w:val="28"/>
        <w:szCs w:val="28"/>
      </w:rPr>
    </w:pPr>
    <w:proofErr w:type="spellStart"/>
    <w:r>
      <w:rPr>
        <w:rFonts w:ascii="Arial" w:eastAsia="Arial" w:hAnsi="Arial" w:cs="Arial"/>
        <w:sz w:val="28"/>
        <w:szCs w:val="28"/>
      </w:rPr>
      <w:t>Yr</w:t>
    </w:r>
    <w:proofErr w:type="spellEnd"/>
    <w:r>
      <w:rPr>
        <w:rFonts w:ascii="Arial" w:eastAsia="Arial" w:hAnsi="Arial" w:cs="Arial"/>
        <w:sz w:val="28"/>
        <w:szCs w:val="28"/>
      </w:rPr>
      <w:t xml:space="preserve"> 8 3 Separation techniques - Solutions - Lesson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E7"/>
    <w:rsid w:val="000006D5"/>
    <w:rsid w:val="00893AC9"/>
    <w:rsid w:val="00B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161D"/>
  <w15:docId w15:val="{DAA4F7E7-0C32-43CC-9883-533E034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743"/>
    <w:pPr>
      <w:keepNext/>
      <w:outlineLvl w:val="4"/>
    </w:pPr>
    <w:rPr>
      <w:b/>
      <w:sz w:val="24"/>
      <w:u w:val="single"/>
      <w:lang w:val="en-GB" w:eastAsia="x-non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rsid w:val="00437743"/>
    <w:rPr>
      <w:rFonts w:ascii="Times New Roman" w:eastAsia="Times New Roman" w:hAnsi="Times New Roman" w:cs="Times New Roman"/>
      <w:b/>
      <w:sz w:val="24"/>
      <w:szCs w:val="20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DF5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2D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DF5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2D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52D"/>
    <w:rPr>
      <w:rFonts w:ascii="Tahoma" w:eastAsia="Times New Roman" w:hAnsi="Tahoma" w:cs="Tahoma"/>
      <w:sz w:val="16"/>
      <w:szCs w:val="16"/>
      <w:lang w:val="en-US" w:eastAsia="en-GB"/>
    </w:rPr>
  </w:style>
  <w:style w:type="table" w:styleId="TableGrid">
    <w:name w:val="Table Grid"/>
    <w:basedOn w:val="TableNormal"/>
    <w:uiPriority w:val="39"/>
    <w:rsid w:val="00994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sFiBtCJPsvkziSZ5Gpmn44vdKw==">AMUW2mWg9yS6xDOMOMK84usL2+dWGYzIHW7LBvzrANFSNHKyurImsZr/NVyt3ejlOsrdCAVzrTQXUqXo5zrXpDtAl9kPSJX0FpedASWn1ZCxI4b/FHRRiST525GwgM9sKYv5V9FZT907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7846A1787E24BAA4B8FCA035797FD" ma:contentTypeVersion="6" ma:contentTypeDescription="Create a new document." ma:contentTypeScope="" ma:versionID="5c47fdc44405da4a49b1604d4999fbb1">
  <xsd:schema xmlns:xsd="http://www.w3.org/2001/XMLSchema" xmlns:xs="http://www.w3.org/2001/XMLSchema" xmlns:p="http://schemas.microsoft.com/office/2006/metadata/properties" xmlns:ns2="0078ab53-bb02-47a0-9393-a7ee0c0e7637" targetNamespace="http://schemas.microsoft.com/office/2006/metadata/properties" ma:root="true" ma:fieldsID="582069f483077711cd4f37e3b8b3a8e3" ns2:_="">
    <xsd:import namespace="0078ab53-bb02-47a0-9393-a7ee0c0e76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8ab53-bb02-47a0-9393-a7ee0c0e7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1CF478-89DC-44E5-ADFB-EECEACB7BBB1}"/>
</file>

<file path=customXml/itemProps3.xml><?xml version="1.0" encoding="utf-8"?>
<ds:datastoreItem xmlns:ds="http://schemas.openxmlformats.org/officeDocument/2006/customXml" ds:itemID="{E596AEF9-84DD-4054-A65C-F64F123532A9}"/>
</file>

<file path=customXml/itemProps4.xml><?xml version="1.0" encoding="utf-8"?>
<ds:datastoreItem xmlns:ds="http://schemas.openxmlformats.org/officeDocument/2006/customXml" ds:itemID="{E2CCD95A-0BE8-4C4F-9D87-CE3DE9CBAB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Moreland</dc:creator>
  <cp:lastModifiedBy>robert campbell</cp:lastModifiedBy>
  <cp:revision>2</cp:revision>
  <dcterms:created xsi:type="dcterms:W3CDTF">2020-08-25T16:01:00Z</dcterms:created>
  <dcterms:modified xsi:type="dcterms:W3CDTF">2020-08-25T16:01:00Z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0x010100D347846A1787E24BAA4B8FCA035797FD</vt:lpwstr>
  </property>
</Properties>
</file>