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Rule="exact" w:line="520"/>
        <w:jc w:val="center"/>
      </w:pPr>
      <w:r>
        <w:rPr>
          <w:rFonts w:ascii="Times New Roman" w:hAnsi="Times New Roman" w:cs="Times New Roman"/>
          <w:b w:val="0"/>
          <w:i w:val="0"/>
          <w:sz w:val="48"/>
        </w:rPr>
        <w:t>MarkSentry: A Zero-Trust, Local-First Document-to-Markdown Conversion Framework with Multi-Column Layout Intelligence and PII Compliance</w:t>
      </w:r>
    </w:p>
    <w:p>
      <w:pPr>
        <w:spacing w:before="0" w:after="40" w:lineRule="exact" w:line="280"/>
        <w:jc w:val="center"/>
      </w:pPr>
      <w:r>
        <w:rPr>
          <w:rFonts w:ascii="Times New Roman" w:hAnsi="Times New Roman" w:cs="Times New Roman"/>
          <w:b w:val="0"/>
          <w:i w:val="0"/>
          <w:sz w:val="22"/>
        </w:rPr>
        <w:t>Sunil Gentyala</w:t>
      </w:r>
    </w:p>
    <w:p>
      <w:pPr>
        <w:spacing w:before="0" w:after="200" w:lineRule="exact" w:line="260"/>
        <w:jc w:val="center"/>
      </w:pPr>
      <w:r>
        <w:rPr>
          <w:rFonts w:ascii="Times New Roman" w:hAnsi="Times New Roman" w:cs="Times New Roman"/>
          <w:b w:val="0"/>
          <w:i/>
          <w:sz w:val="20"/>
        </w:rPr>
        <w:t>HCL America Inc., Dallas, TX, USA</w:t>
        <w:br/>
        <w:t>sunil.gentyala@ieee.org</w:t>
      </w:r>
    </w:p>
    <w:p>
      <w:pPr>
        <w:spacing w:before="0" w:after="0" w:lineRule="exact" w:line="220"/>
        <w:jc w:val="left"/>
      </w:pPr>
      <w:r>
        <w:rPr>
          <w:rFonts w:ascii="Times New Roman" w:hAnsi="Times New Roman" w:cs="Times New Roman"/>
          <w:b/>
          <w:i/>
          <w:sz w:val="18"/>
        </w:rPr>
        <w:t>Abstract</w:t>
      </w:r>
    </w:p>
    <w:p>
      <w:pPr>
        <w:spacing w:before="40" w:after="80" w:lineRule="exact" w:line="220"/>
        <w:ind w:firstLine="0"/>
        <w:jc w:val="both"/>
      </w:pPr>
      <w:r>
        <w:rPr>
          <w:rFonts w:ascii="Times New Roman" w:hAnsi="Times New Roman" w:cs="Times New Roman"/>
          <w:b w:val="0"/>
          <w:i w:val="0"/>
          <w:sz w:val="18"/>
        </w:rPr>
        <w:t>Document-to-Markdown conversion sits at the ingestion boundary of retrieval-augmented generation (RAG) pipelines, yet most available utilities were never designed with security as a first-order concern. Widely-used tools offer broad format support but ship without any defense against path traversal, server-side request forgery (SSRF) via embedded document URIs, zip-bomb decompression attacks, or macro-bearing payloads inside Office Open XML archives. Alongside these security gaps, the layout fidelity of existing parsers deteriorates sharply on multi-column documents: columns are read horizontally across the gutter, and mathematical expressions are silently omitted or replaced with unintelligible fragments. This paper presents MarkSentry, a Python-based, fully offline document conversion framework that addresses both problem classes. Its zero-trust input sanitizer enforces path jailing, verifies magic bytes against declared extensions, blocks embedded URIs targeting RFC-1918 and link-local address spaces, strips VBA macro content from OOXML containers, and detects decompression bomb ratios before any parsing begins. A gap-analysis layout algorithm reconstructs correct reading order for multi-column PDF pages. An OMML-to-LaTeX recursive descent parser converts embedded Word equations to display-mode LaTeX, while a Unicode-to-LaTeX symbol map handles inline math in PDF streams. A PII masking filter covering ten pattern categories, including Luhn-validated credit cards, PEM private keys, JWT tokens, and AWS access keys, is applied prior to RAG injection. Security evaluation against 25 adversarial inputs yielded zero false negatives. Layout accuracy on a sample of ten IEEE-format two-column PDFs reached 90 percent correct reading order, and OMML-to-LaTeX conversion achieved 91 percent syntactic validity on 45 sampled equations.</w:t>
      </w:r>
    </w:p>
    <w:p>
      <w:pPr>
        <w:spacing w:before="0" w:after="160" w:lineRule="exact" w:line="220"/>
        <w:ind w:firstLine="0"/>
        <w:jc w:val="both"/>
      </w:pPr>
      <w:r>
        <w:rPr>
          <w:rFonts w:ascii="Times New Roman" w:hAnsi="Times New Roman" w:cs="Times New Roman"/>
          <w:b/>
          <w:i/>
          <w:sz w:val="18"/>
        </w:rPr>
        <w:t xml:space="preserve">Index Terms: </w:t>
      </w:r>
      <w:r>
        <w:rPr>
          <w:rFonts w:ascii="Times New Roman" w:hAnsi="Times New Roman" w:cs="Times New Roman"/>
          <w:b w:val="0"/>
          <w:i/>
          <w:sz w:val="18"/>
        </w:rPr>
        <w:t>document conversion, zero-trust security, server-side request forgery, multi-column layout analysis, LaTeX math extraction, PII masking, retrieval-augmented generation, OOXML macro detection, path traversal</w:t>
      </w:r>
    </w:p>
    <w:p>
      <w:pPr>
        <w:sectPr>
          <w:pgSz w:w="12240" w:h="15840"/>
          <w:pgMar w:top="1080" w:right="900" w:bottom="1440" w:left="900" w:header="720" w:footer="720" w:gutter="0"/>
          <w:docGrid w:linePitch="360"/>
          <w:cols w:num="1"/>
        </w:sectPr>
      </w:pPr>
    </w:p>
    <w:p>
      <w:pPr>
        <w:spacing w:before="120" w:after="60" w:lineRule="exact" w:line="240"/>
        <w:jc w:val="center"/>
      </w:pPr>
      <w:r>
        <w:rPr>
          <w:rFonts w:ascii="Times New Roman" w:hAnsi="Times New Roman" w:cs="Times New Roman"/>
          <w:b/>
          <w:i w:val="0"/>
          <w:sz w:val="20"/>
        </w:rPr>
        <w:t>I. INTRODUCTION</w:t>
      </w:r>
    </w:p>
    <w:p>
      <w:pPr>
        <w:spacing w:before="0" w:after="0" w:lineRule="exact" w:line="240"/>
        <w:ind w:firstLine="0"/>
        <w:jc w:val="both"/>
      </w:pPr>
      <w:r>
        <w:rPr>
          <w:rFonts w:ascii="Times New Roman" w:hAnsi="Times New Roman" w:cs="Times New Roman"/>
          <w:b w:val="0"/>
          <w:i w:val="0"/>
          <w:sz w:val="20"/>
        </w:rPr>
        <w:t>The proliferation of retrieval-augmented generation (RAG) architectures has elevated document ingestion infrastructure to a critical position in enterprise AI stacks. Where content once sat passively in file stores, it now flows through conversion pipelines, lands in vector databases, and directly shapes the outputs of large language models [14], [5]. The quality and safety of this conversion therefore have concrete effects on the accuracy and trustworthiness of downstream AI responses.</w:t>
      </w:r>
    </w:p>
    <w:p>
      <w:pPr>
        <w:spacing w:before="0" w:after="0" w:lineRule="exact" w:line="240"/>
        <w:ind w:firstLine="280"/>
        <w:jc w:val="both"/>
      </w:pPr>
      <w:r>
        <w:rPr>
          <w:rFonts w:ascii="Times New Roman" w:hAnsi="Times New Roman" w:cs="Times New Roman"/>
          <w:b w:val="0"/>
          <w:i w:val="0"/>
          <w:sz w:val="20"/>
        </w:rPr>
        <w:t>Most existing document-to-Markdown tools were built for a different era. They prioritize developer convenience and format breadth but treat the conversion boundary as an inherently benign operation: a file arrives, parsing begins, output is produced. Widely-used libraries offer PDF, Word, and spreadsheet support, but carry no path validation logic, no checks for embedded URI references, and no defense against zip-based resource exhaustion. When such a tool is asked to process a DOCX file whose XML relationship entries point to an internal metadata service at 169.254.169.254, it fetches the URL. Where cloud OCR fallback is offered, documents containing PII are transmitted to remote endpoints whose data retention policies the caller cannot audit.</w:t>
      </w:r>
    </w:p>
    <w:p>
      <w:pPr>
        <w:spacing w:before="0" w:after="0" w:lineRule="exact" w:line="240"/>
        <w:ind w:firstLine="280"/>
        <w:jc w:val="both"/>
      </w:pPr>
      <w:r>
        <w:rPr>
          <w:rFonts w:ascii="Times New Roman" w:hAnsi="Times New Roman" w:cs="Times New Roman"/>
          <w:b w:val="0"/>
          <w:i w:val="0"/>
          <w:sz w:val="20"/>
        </w:rPr>
        <w:t>Layout correctness is a second, quieter failure mode. Academic conference papers, journal articles, technical reports, and regulatory filings almost universally adopt two-column layouts. A naive PDF text extractor that processes elements in stream order reads text horizontally across the gutter, merging the first line of the left column with the first line of the right. Experiments on fifty IEEE-format PDFs with commonly used Python converters reproduced this cross-column interleaving in over eighty percent of documents. Mathematical content fares no better: Greek symbols, integral signs, and summation operators either vanish or appear as replacement characters, and Office Math Markup Language (OMML) equations have no existing open-source library that converts them faithfully to LaTeX.</w:t>
      </w:r>
    </w:p>
    <w:p>
      <w:pPr>
        <w:spacing w:before="0" w:after="0" w:lineRule="exact" w:line="240"/>
        <w:ind w:firstLine="280"/>
        <w:jc w:val="both"/>
      </w:pPr>
      <w:r>
        <w:rPr>
          <w:rFonts w:ascii="Times New Roman" w:hAnsi="Times New Roman" w:cs="Times New Roman"/>
          <w:b w:val="0"/>
          <w:i w:val="0"/>
          <w:sz w:val="20"/>
        </w:rPr>
        <w:t>MarkSentry was designed to address these failures as a coherent system. This paper makes the following contributions: (1) a zero-trust input sanitizer that blocks path traversal, SSRF via embedded URIs, macro payloads, and zip bombs before any parsing byte is read; (2) a column gap-analysis layout algorithm that reconstructs correct reading order for multi-column PDF pages without any ML model or external dependency; (3) a recursive OMML-to-LaTeX parser supporting fractions, radicals, n-ary operators, matrices, and delimiter pairs; and (4) a PII masking filter with Luhn validation and entropy heuristics for pre-RAG compliance.</w:t>
      </w:r>
    </w:p>
    <w:p>
      <w:pPr>
        <w:spacing w:before="0" w:after="0" w:lineRule="exact" w:line="240"/>
        <w:ind w:firstLine="280"/>
        <w:jc w:val="both"/>
      </w:pPr>
      <w:r>
        <w:rPr>
          <w:rFonts w:ascii="Times New Roman" w:hAnsi="Times New Roman" w:cs="Times New Roman"/>
          <w:b w:val="0"/>
          <w:i w:val="0"/>
          <w:sz w:val="20"/>
        </w:rPr>
        <w:t>The remainder of this paper is organized as follows. Section II reviews related work. Section III formalizes the threat model. Section IV describes the system architecture. Section V discusses implementation. Section VI provides a security analysis. Section VII presents evaluation results. Section VIII concludes.</w:t>
      </w:r>
    </w:p>
    <w:p>
      <w:pPr>
        <w:spacing w:before="0" w:after="0" w:lineRule="exact" w:line="80"/>
      </w:pPr>
    </w:p>
    <w:p>
      <w:pPr>
        <w:spacing w:before="120" w:after="60" w:lineRule="exact" w:line="240"/>
        <w:jc w:val="center"/>
      </w:pPr>
      <w:r>
        <w:rPr>
          <w:rFonts w:ascii="Times New Roman" w:hAnsi="Times New Roman" w:cs="Times New Roman"/>
          <w:b/>
          <w:i w:val="0"/>
          <w:sz w:val="20"/>
        </w:rPr>
        <w:t>II. RELATED WORK</w:t>
      </w:r>
    </w:p>
    <w:p>
      <w:pPr>
        <w:spacing w:before="80" w:after="40" w:lineRule="exact" w:line="240"/>
        <w:jc w:val="left"/>
      </w:pPr>
      <w:r>
        <w:rPr>
          <w:rFonts w:ascii="Times New Roman" w:hAnsi="Times New Roman" w:cs="Times New Roman"/>
          <w:b/>
          <w:i/>
          <w:sz w:val="20"/>
        </w:rPr>
        <w:t>A. Document Layout Analysis</w:t>
      </w:r>
    </w:p>
    <w:p>
      <w:pPr>
        <w:spacing w:before="0" w:after="0" w:lineRule="exact" w:line="240"/>
        <w:ind w:firstLine="280"/>
        <w:jc w:val="both"/>
      </w:pPr>
      <w:r>
        <w:rPr>
          <w:rFonts w:ascii="Times New Roman" w:hAnsi="Times New Roman" w:cs="Times New Roman"/>
          <w:b w:val="0"/>
          <w:i w:val="0"/>
          <w:sz w:val="20"/>
        </w:rPr>
        <w:t>Document layout analysis has matured substantially with the availability of large annotated corpora and transformer-based pre-training. LayoutLM [3] demonstrated that jointly encoding text tokens with their bounding-box coordinates improves downstream tasks such as form understanding and receipt parsing. LayoutLMv3 [15] extended this with unified text and image masking. LayoutParser [2] provided a toolkit wrapping deep-learning layout detection behind a unified API for research and production use.</w:t>
      </w:r>
    </w:p>
    <w:p>
      <w:pPr>
        <w:spacing w:before="0" w:after="0" w:lineRule="exact" w:line="240"/>
        <w:ind w:firstLine="280"/>
        <w:jc w:val="both"/>
      </w:pPr>
      <w:r>
        <w:rPr>
          <w:rFonts w:ascii="Times New Roman" w:hAnsi="Times New Roman" w:cs="Times New Roman"/>
          <w:b w:val="0"/>
          <w:i w:val="0"/>
          <w:sz w:val="20"/>
        </w:rPr>
        <w:t>OmniDocBench [12] offered the most comprehensive evaluation of PDF parsing pipelines to date, benchmarking across nine document types and annotating reading order, table structure, formulas, and text blocks in 1,355 pages. Its findings confirmed that formula extraction and multi-column reading order remain the hardest sub-tasks, with even vision-language models scoring below sixty percent on reading-order accuracy for two-column academic PDFs.</w:t>
      </w:r>
    </w:p>
    <w:p>
      <w:pPr>
        <w:spacing w:before="0" w:after="0" w:lineRule="exact" w:line="240"/>
        <w:ind w:firstLine="280"/>
        <w:jc w:val="both"/>
      </w:pPr>
      <w:r>
        <w:rPr>
          <w:rFonts w:ascii="Times New Roman" w:hAnsi="Times New Roman" w:cs="Times New Roman"/>
          <w:b w:val="0"/>
          <w:i w:val="0"/>
          <w:sz w:val="20"/>
        </w:rPr>
        <w:t>MarkSentry differs from this body of work in that it operates entirely on the character coordinate stream from pdfminer.six, without image rendering or ML inference. This makes it deterministic, reproducible, and offline -- properties that matter when processing sensitive documents.</w:t>
      </w:r>
    </w:p>
    <w:p>
      <w:pPr>
        <w:spacing w:before="80" w:after="40" w:lineRule="exact" w:line="240"/>
        <w:jc w:val="left"/>
      </w:pPr>
      <w:r>
        <w:rPr>
          <w:rFonts w:ascii="Times New Roman" w:hAnsi="Times New Roman" w:cs="Times New Roman"/>
          <w:b/>
          <w:i/>
          <w:sz w:val="20"/>
        </w:rPr>
        <w:t>B. PDF and Office Document Security</w:t>
      </w:r>
    </w:p>
    <w:p>
      <w:pPr>
        <w:spacing w:before="0" w:after="0" w:lineRule="exact" w:line="240"/>
        <w:ind w:firstLine="280"/>
        <w:jc w:val="both"/>
      </w:pPr>
      <w:r>
        <w:rPr>
          <w:rFonts w:ascii="Times New Roman" w:hAnsi="Times New Roman" w:cs="Times New Roman"/>
          <w:b w:val="0"/>
          <w:i w:val="0"/>
          <w:sz w:val="20"/>
        </w:rPr>
        <w:t>Hossain et al. [8] trained multiple classifiers for malicious PDF detection on a dataset of 80,000 samples, achieving 99 percent accuracy with gradient boosting using structural features from the PDF object graph. These approaches address binary malicious/benign classification; MarkSentry's sanitizer addresses a different point: ensuring the conversion tool itself cannot be weaponized by a crafted document.</w:t>
      </w:r>
    </w:p>
    <w:p>
      <w:pPr>
        <w:spacing w:before="0" w:after="0" w:lineRule="exact" w:line="240"/>
        <w:ind w:firstLine="280"/>
        <w:jc w:val="both"/>
      </w:pPr>
      <w:r>
        <w:rPr>
          <w:rFonts w:ascii="Times New Roman" w:hAnsi="Times New Roman" w:cs="Times New Roman"/>
          <w:b w:val="0"/>
          <w:i w:val="0"/>
          <w:sz w:val="20"/>
        </w:rPr>
        <w:t>Chen, Wang, and Han [9] analyzed 77 obfuscation features and 46 suspicious keywords in VBA macros within Office documents, showing that their combination outperforms single-feature classifiers on previously unseen samples. Their work motivates MarkSentry's macro-stripping step, which removes vbaProject.bin entries and scrubs macro content-type declarations before any XML parsing. Wichmann, Groddeck, and Federrath [13] proposed FileUploadChecker, a middleware-based tool for rejecting malicious uploads at the web request level.</w:t>
      </w:r>
    </w:p>
    <w:p>
      <w:pPr>
        <w:spacing w:before="80" w:after="40" w:lineRule="exact" w:line="240"/>
        <w:jc w:val="left"/>
      </w:pPr>
      <w:r>
        <w:rPr>
          <w:rFonts w:ascii="Times New Roman" w:hAnsi="Times New Roman" w:cs="Times New Roman"/>
          <w:b/>
          <w:i/>
          <w:sz w:val="20"/>
        </w:rPr>
        <w:t>C. Server-Side Request Forgery</w:t>
      </w:r>
    </w:p>
    <w:p>
      <w:pPr>
        <w:spacing w:before="0" w:after="0" w:lineRule="exact" w:line="240"/>
        <w:ind w:firstLine="280"/>
        <w:jc w:val="both"/>
      </w:pPr>
      <w:r>
        <w:rPr>
          <w:rFonts w:ascii="Times New Roman" w:hAnsi="Times New Roman" w:cs="Times New Roman"/>
          <w:b w:val="0"/>
          <w:i w:val="0"/>
          <w:sz w:val="20"/>
        </w:rPr>
        <w:t>SSRF ranks among the top ten web vulnerabilities following a series of high-profile cloud breaches in which attackers reached internal metadata services through document processing pipelines. Jabiyev et al. [4] analyzed root causes in web frameworks and proposed origin-binding as a structural defense. A 2024 IEEE empirical study [7] evaluated LSTM and BERT-based URL classifiers on the CIC dataset, with LSTM reaching 98.2 percent detection accuracy. MarkSentry's approach is complementary: it resolves addresses at sanitization time and blocks RFC-1918, loopback, and link-local ranges without requiring ML inference.</w:t>
      </w:r>
    </w:p>
    <w:p>
      <w:pPr>
        <w:spacing w:before="80" w:after="40" w:lineRule="exact" w:line="240"/>
        <w:jc w:val="left"/>
      </w:pPr>
      <w:r>
        <w:rPr>
          <w:rFonts w:ascii="Times New Roman" w:hAnsi="Times New Roman" w:cs="Times New Roman"/>
          <w:b/>
          <w:i/>
          <w:sz w:val="20"/>
        </w:rPr>
        <w:t>D. PII Detection and Privacy in AI Pipelines</w:t>
      </w:r>
    </w:p>
    <w:p>
      <w:pPr>
        <w:spacing w:before="0" w:after="0" w:lineRule="exact" w:line="240"/>
        <w:ind w:firstLine="280"/>
        <w:jc w:val="both"/>
      </w:pPr>
      <w:r>
        <w:rPr>
          <w:rFonts w:ascii="Times New Roman" w:hAnsi="Times New Roman" w:cs="Times New Roman"/>
          <w:b w:val="0"/>
          <w:i w:val="0"/>
          <w:sz w:val="20"/>
        </w:rPr>
        <w:t>Mainetti and Elia [6] demonstrated that a BERT-based PII classifier achieves 99.558 percent accuracy on administrative documents, improving over prior state-of-the-art by 7.47 percentage points. Lewis et al. [14] introduced RAG as a mechanism for grounding LLM outputs in external knowledge, while Gao et al. [5] surveyed the RAG landscape and identified PII leakage as one of the five primary risks in production deployments. MarkSentry's masking filter operates prior to RAG injection, ensuring sensitive values are replaced with labeled placeholders before the document reaches a vector store.</w:t>
      </w:r>
    </w:p>
    <w:p>
      <w:pPr>
        <w:spacing w:before="80" w:after="40" w:lineRule="exact" w:line="240"/>
        <w:jc w:val="left"/>
      </w:pPr>
      <w:r>
        <w:rPr>
          <w:rFonts w:ascii="Times New Roman" w:hAnsi="Times New Roman" w:cs="Times New Roman"/>
          <w:b/>
          <w:i/>
          <w:sz w:val="20"/>
        </w:rPr>
        <w:t>E. Mathematical Formula Extraction</w:t>
      </w:r>
    </w:p>
    <w:p>
      <w:pPr>
        <w:spacing w:before="0" w:after="0" w:lineRule="exact" w:line="240"/>
        <w:ind w:firstLine="280"/>
        <w:jc w:val="both"/>
      </w:pPr>
      <w:r>
        <w:rPr>
          <w:rFonts w:ascii="Times New Roman" w:hAnsi="Times New Roman" w:cs="Times New Roman"/>
          <w:b w:val="0"/>
          <w:i w:val="0"/>
          <w:sz w:val="20"/>
        </w:rPr>
        <w:t>Shah, Dey, and Zanibbi [11] built the MathSeer pipeline for locating and extracting formulas from born-digital PDFs using character bounding boxes and symbol layout trees, reporting 82 percent structural accuracy on a 4,500-formula dataset. MarkSentry draws on a similar philosophy of using coordinate information rather than image processing, but targets direct LaTeX string output for Markdown rendering rather than search indexing.</w:t>
      </w:r>
    </w:p>
    <w:p>
      <w:pPr>
        <w:spacing w:before="0" w:after="0" w:lineRule="exact" w:line="80"/>
      </w:pPr>
    </w:p>
    <w:p>
      <w:pPr>
        <w:spacing w:before="120" w:after="60" w:lineRule="exact" w:line="240"/>
        <w:jc w:val="center"/>
      </w:pPr>
      <w:r>
        <w:rPr>
          <w:rFonts w:ascii="Times New Roman" w:hAnsi="Times New Roman" w:cs="Times New Roman"/>
          <w:b/>
          <w:i w:val="0"/>
          <w:sz w:val="20"/>
        </w:rPr>
        <w:t>III. THREAT MODEL AND DESIGN PRINCIPLES</w:t>
      </w:r>
    </w:p>
    <w:p>
      <w:pPr>
        <w:spacing w:before="80" w:after="40" w:lineRule="exact" w:line="240"/>
        <w:jc w:val="left"/>
      </w:pPr>
      <w:r>
        <w:rPr>
          <w:rFonts w:ascii="Times New Roman" w:hAnsi="Times New Roman" w:cs="Times New Roman"/>
          <w:b/>
          <w:i/>
          <w:sz w:val="20"/>
        </w:rPr>
        <w:t>A. Threat Model</w:t>
      </w:r>
    </w:p>
    <w:p>
      <w:pPr>
        <w:spacing w:before="0" w:after="0" w:lineRule="exact" w:line="240"/>
        <w:ind w:firstLine="280"/>
        <w:jc w:val="both"/>
      </w:pPr>
      <w:r>
        <w:rPr>
          <w:rFonts w:ascii="Times New Roman" w:hAnsi="Times New Roman" w:cs="Times New Roman"/>
          <w:b w:val="0"/>
          <w:i w:val="0"/>
          <w:sz w:val="20"/>
        </w:rPr>
        <w:t>We model the adversary as a document supplier able to craft or modify files that MarkSentry will process. Six threat categories are considered. T1 (Path Traversal): embedding sequences such as ../../etc/passwd, null-byte-terminated paths, or UNC paths to read outside the input directory. T2 (SSRF): embedding URLs targeting internal services within document content or XML relationship files. T3 (Macro Execution): including VBA project binaries that execute on document open. T4 (Resource Exhaustion): supplying zip archives with extreme compression ratios or deep nesting. T5 (Type Confusion): submitting a file whose declared extension does not match its actual magic bytes. T6 (PII Exfiltration): embedding sensitive data destined for RAG ingestion without prior redaction. The MarkSentry process is trusted; in-process exploitation and network egress are out of scope.</w:t>
      </w:r>
    </w:p>
    <w:p>
      <w:pPr>
        <w:spacing w:before="80" w:after="40" w:lineRule="exact" w:line="240"/>
        <w:jc w:val="left"/>
      </w:pPr>
      <w:r>
        <w:rPr>
          <w:rFonts w:ascii="Times New Roman" w:hAnsi="Times New Roman" w:cs="Times New Roman"/>
          <w:b/>
          <w:i/>
          <w:sz w:val="20"/>
        </w:rPr>
        <w:t>B. Design Principles</w:t>
      </w:r>
    </w:p>
    <w:p>
      <w:pPr>
        <w:spacing w:before="0" w:after="0" w:lineRule="exact" w:line="240"/>
        <w:ind w:firstLine="280"/>
        <w:jc w:val="both"/>
      </w:pPr>
      <w:r>
        <w:rPr>
          <w:rFonts w:ascii="Times New Roman" w:hAnsi="Times New Roman" w:cs="Times New Roman"/>
          <w:b w:val="0"/>
          <w:i w:val="0"/>
          <w:sz w:val="20"/>
        </w:rPr>
        <w:t>Five design principles follow from the threat model. P1 (Fail Closed): any incomplete check causes rejection. P2 (Sanitize Before Parsing): all security checks run on file bytes before any parser examines content. P3 (Least Privilege on Paths): every resolved path is checked against a configurable directory jail. P4 (No Network Egress): the conversion pipeline never opens a socket; all external URLs found in documents are logged and suppressed. P5 (Transparent Redaction): masked PII is replaced with labeled placeholders so downstream consumers can see that data existed.</w:t>
      </w:r>
    </w:p>
    <w:p>
      <w:pPr>
        <w:spacing w:before="0" w:after="0" w:lineRule="exact" w:line="80"/>
      </w:pPr>
    </w:p>
    <w:p>
      <w:pPr>
        <w:spacing w:before="120" w:after="60" w:lineRule="exact" w:line="240"/>
        <w:jc w:val="center"/>
      </w:pPr>
      <w:r>
        <w:rPr>
          <w:rFonts w:ascii="Times New Roman" w:hAnsi="Times New Roman" w:cs="Times New Roman"/>
          <w:b/>
          <w:i w:val="0"/>
          <w:sz w:val="20"/>
        </w:rPr>
        <w:t>IV. SYSTEM ARCHITECTURE</w:t>
      </w:r>
    </w:p>
    <w:p>
      <w:pPr>
        <w:spacing w:before="80" w:after="40" w:lineRule="exact" w:line="240"/>
        <w:jc w:val="left"/>
      </w:pPr>
      <w:r>
        <w:rPr>
          <w:rFonts w:ascii="Times New Roman" w:hAnsi="Times New Roman" w:cs="Times New Roman"/>
          <w:b/>
          <w:i/>
          <w:sz w:val="20"/>
        </w:rPr>
        <w:t>A. Zero-Trust Input Sanitizer</w:t>
      </w:r>
    </w:p>
    <w:p>
      <w:pPr>
        <w:spacing w:before="0" w:after="0" w:lineRule="exact" w:line="240"/>
        <w:ind w:firstLine="280"/>
        <w:jc w:val="both"/>
      </w:pPr>
      <w:r>
        <w:rPr>
          <w:rFonts w:ascii="Times New Roman" w:hAnsi="Times New Roman" w:cs="Times New Roman"/>
          <w:b w:val="0"/>
          <w:i w:val="0"/>
          <w:sz w:val="20"/>
        </w:rPr>
        <w:t>The sanitizer is the first component every file touches. Path validation resolves the input using Python's pathlib.Path.resolve(strict=True), following all symbolic links and canonicalizing the path, then checks the result against an optional jail directory via relative_to(). Null bytes, UNC prefixes, and explicit URI schemes are rejected before resolution is attempted.</w:t>
      </w:r>
    </w:p>
    <w:p>
      <w:pPr>
        <w:spacing w:before="0" w:after="0" w:lineRule="exact" w:line="240"/>
        <w:ind w:firstLine="280"/>
        <w:jc w:val="both"/>
      </w:pPr>
      <w:r>
        <w:rPr>
          <w:rFonts w:ascii="Times New Roman" w:hAnsi="Times New Roman" w:cs="Times New Roman"/>
          <w:b w:val="0"/>
          <w:i w:val="0"/>
          <w:sz w:val="20"/>
        </w:rPr>
        <w:t>Extension allow-listing restricts input to a fixed set of recognized types. Magic-byte verification reads the file header and compares it against the expected signature for the declared extension; a .pdf file must begin with %PDF, a .docx file with the ZIP local file header. A mismatch raises a SanitizationError with a spoofing warning.</w:t>
      </w:r>
    </w:p>
    <w:p>
      <w:pPr>
        <w:spacing w:before="0" w:after="0" w:lineRule="exact" w:line="240"/>
        <w:ind w:firstLine="280"/>
        <w:jc w:val="both"/>
      </w:pPr>
      <w:r>
        <w:rPr>
          <w:rFonts w:ascii="Times New Roman" w:hAnsi="Times New Roman" w:cs="Times New Roman"/>
          <w:b w:val="0"/>
          <w:i w:val="0"/>
          <w:sz w:val="20"/>
        </w:rPr>
        <w:t>Zip-bomb detection computes the ratio of total uncompressed to compressed size across all ZIP entries. Ratios exceeding 100:1 and nesting depth exceeding three levels are rejected. SSRF scanning applies a URL-matching regular expression to all XML and relationship entries, testing each match against a deny list covering RFC-1918, loopback, link-local (169.254.0.0/16), and CGNAT (100.64.0.0/10) ranges as well as file, smb, ldap, and data URI schemes.</w:t>
      </w:r>
    </w:p>
    <w:p>
      <w:pPr>
        <w:spacing w:before="0" w:after="0" w:lineRule="exact" w:line="240"/>
        <w:ind w:firstLine="280"/>
        <w:jc w:val="both"/>
      </w:pPr>
      <w:r>
        <w:rPr>
          <w:rFonts w:ascii="Times New Roman" w:hAnsi="Times New Roman" w:cs="Times New Roman"/>
          <w:b w:val="0"/>
          <w:i w:val="0"/>
          <w:sz w:val="20"/>
        </w:rPr>
        <w:t>Macro stripping detects VBA project entries and macro content-type declarations in OOXML archives. When found, the archive is rewritten in memory, omitting macro entries, and the cleaned file is written back to disk. A temporary backup is removed on success.</w:t>
      </w:r>
    </w:p>
    <w:p>
      <w:pPr>
        <w:spacing w:before="80" w:after="40" w:lineRule="exact" w:line="240"/>
        <w:jc w:val="left"/>
      </w:pPr>
      <w:r>
        <w:rPr>
          <w:rFonts w:ascii="Times New Roman" w:hAnsi="Times New Roman" w:cs="Times New Roman"/>
          <w:b/>
          <w:i/>
          <w:sz w:val="20"/>
        </w:rPr>
        <w:t>B. Multi-Column Layout Processor</w:t>
      </w:r>
    </w:p>
    <w:p>
      <w:pPr>
        <w:spacing w:before="0" w:after="0" w:lineRule="exact" w:line="240"/>
        <w:ind w:firstLine="280"/>
        <w:jc w:val="both"/>
      </w:pPr>
      <w:r>
        <w:rPr>
          <w:rFonts w:ascii="Times New Roman" w:hAnsi="Times New Roman" w:cs="Times New Roman"/>
          <w:b w:val="0"/>
          <w:i w:val="0"/>
          <w:sz w:val="20"/>
        </w:rPr>
        <w:t>The layout processor operates on a stream of TextBlock objects, each carrying a bounding box (x0, y0, x1, y1), text, font size, and boldness flag. Blocks whose width exceeds 75 percent of page width are classified as full-width and held aside. The remaining blocks feed the gap analyzer.</w:t>
      </w:r>
    </w:p>
    <w:p>
      <w:pPr>
        <w:spacing w:before="0" w:after="0" w:lineRule="exact" w:line="240"/>
        <w:ind w:firstLine="280"/>
        <w:jc w:val="both"/>
      </w:pPr>
      <w:r>
        <w:rPr>
          <w:rFonts w:ascii="Times New Roman" w:hAnsi="Times New Roman" w:cs="Times New Roman"/>
          <w:b w:val="0"/>
          <w:i w:val="0"/>
          <w:sz w:val="20"/>
        </w:rPr>
        <w:t>Column gap analysis builds a one-point-resolution binary coverage array over the page width. Each block sets its horizontal extent to covered. Contiguous uncovered runs wider than the minimum gap threshold (default 18 pt) become column separators. A safety cap of four columns prevents over-segmentation on irregular layouts; exceeding this cap falls back to single-column ordering.</w:t>
      </w:r>
    </w:p>
    <w:p>
      <w:pPr>
        <w:spacing w:before="0" w:after="0" w:lineRule="exact" w:line="240"/>
        <w:ind w:firstLine="280"/>
        <w:jc w:val="both"/>
      </w:pPr>
      <w:r>
        <w:rPr>
          <w:rFonts w:ascii="Times New Roman" w:hAnsi="Times New Roman" w:cs="Times New Roman"/>
          <w:b w:val="0"/>
          <w:i w:val="0"/>
          <w:sz w:val="20"/>
        </w:rPr>
        <w:t>Block assignment maps each block to the column with maximum x-overlap. Blocks within each column are sorted by descending y1 (top-to-bottom in PDF coordinate space). Reading-order output flattens columns left-to-right, interleaving full-width blocks at their vertical positions relative to column content.</w:t>
      </w:r>
    </w:p>
    <w:p>
      <w:pPr>
        <w:spacing w:before="80" w:after="40" w:lineRule="exact" w:line="240"/>
        <w:jc w:val="left"/>
      </w:pPr>
      <w:r>
        <w:rPr>
          <w:rFonts w:ascii="Times New Roman" w:hAnsi="Times New Roman" w:cs="Times New Roman"/>
          <w:b/>
          <w:i/>
          <w:sz w:val="20"/>
        </w:rPr>
        <w:t>C. Advanced Table and Mathematical Core</w:t>
      </w:r>
    </w:p>
    <w:p>
      <w:pPr>
        <w:spacing w:before="0" w:after="0" w:lineRule="exact" w:line="240"/>
        <w:ind w:firstLine="280"/>
        <w:jc w:val="both"/>
      </w:pPr>
      <w:r>
        <w:rPr>
          <w:rFonts w:ascii="Times New Roman" w:hAnsi="Times New Roman" w:cs="Times New Roman"/>
          <w:b w:val="0"/>
          <w:i w:val="0"/>
          <w:sz w:val="20"/>
        </w:rPr>
        <w:t>Table detection clusters text blocks by y-band (4 pt tolerance) to identify rows, then by x-position (6 pt tolerance) to identify columns. A table candidate requires at least three rows each containing two or more aligned columns. Qualifying clusters are rendered as GitHub-Flavored Markdown pipe tables.</w:t>
      </w:r>
    </w:p>
    <w:p>
      <w:pPr>
        <w:spacing w:before="0" w:after="0" w:lineRule="exact" w:line="240"/>
        <w:ind w:firstLine="280"/>
        <w:jc w:val="both"/>
      </w:pPr>
      <w:r>
        <w:rPr>
          <w:rFonts w:ascii="Times New Roman" w:hAnsi="Times New Roman" w:cs="Times New Roman"/>
          <w:b w:val="0"/>
          <w:i w:val="0"/>
          <w:sz w:val="20"/>
        </w:rPr>
        <w:t>PDF math conversion tests each text block for Unicode mathematical content using a regular-expression trigger covering the Greek, Mathematical Operators, and Mathematical Alphanumeric Symbols Unicode planes. Matching blocks pass through a 200-entry symbol map converting characters such as alpha, integral, and sum to LaTeX equivalents. Blocks under 100 characters are wrapped in inline-math delimiters; longer ones use display-math.</w:t>
      </w:r>
    </w:p>
    <w:p>
      <w:pPr>
        <w:spacing w:before="0" w:after="0" w:lineRule="exact" w:line="240"/>
        <w:ind w:firstLine="280"/>
        <w:jc w:val="both"/>
      </w:pPr>
      <w:r>
        <w:rPr>
          <w:rFonts w:ascii="Times New Roman" w:hAnsi="Times New Roman" w:cs="Times New Roman"/>
          <w:b w:val="0"/>
          <w:i w:val="0"/>
          <w:sz w:val="20"/>
        </w:rPr>
        <w:t>OMML-to-LaTeX conversion is a recursive XML descent over the m: namespace. Fractions become \frac{num}{den}; radicals become \sqrt{base}; n-ary operators emit \int, \sum, or \prod with limits; delimiters map to \left( \right) pairs; matrices emit \begin{pmatrix}; equation arrays produce \begin{aligned}. The converter handles arbitrary nesting depth through mutual recursion.</w:t>
      </w:r>
    </w:p>
    <w:p>
      <w:pPr>
        <w:spacing w:before="80" w:after="40" w:lineRule="exact" w:line="240"/>
        <w:jc w:val="left"/>
      </w:pPr>
      <w:r>
        <w:rPr>
          <w:rFonts w:ascii="Times New Roman" w:hAnsi="Times New Roman" w:cs="Times New Roman"/>
          <w:b/>
          <w:i/>
          <w:sz w:val="20"/>
        </w:rPr>
        <w:t>D. PII Masking Filter</w:t>
      </w:r>
    </w:p>
    <w:p>
      <w:pPr>
        <w:spacing w:before="0" w:after="0" w:lineRule="exact" w:line="240"/>
        <w:ind w:firstLine="280"/>
        <w:jc w:val="both"/>
      </w:pPr>
      <w:r>
        <w:rPr>
          <w:rFonts w:ascii="Times New Roman" w:hAnsi="Times New Roman" w:cs="Times New Roman"/>
          <w:b w:val="0"/>
          <w:i w:val="0"/>
          <w:sz w:val="20"/>
        </w:rPr>
        <w:t>The PII filter applies ten compiled regular expressions: US Social Security Numbers (validated against SSA exclusion ranges); email addresses; US phone numbers; credit and debit card numbers (Luhn-validated to suppress false positives); IPv4 addresses; PEM private keys (RSA, EC, DSA, OpenSSH, PKCS#8); AWS access key IDs; JWT tokens; password assignment expressions; and high-entropy hex strings (32 to 64 characters). Each match is replaced with [REDACTED:&lt;TYPE&gt;]. An audit_pii() companion function performs the same scan without substitution for dry-run inspection.</w:t>
      </w:r>
    </w:p>
    <w:p>
      <w:pPr>
        <w:spacing w:before="0" w:after="0" w:lineRule="exact" w:line="80"/>
      </w:pPr>
    </w:p>
    <w:p>
      <w:pPr>
        <w:spacing w:before="120" w:after="60" w:lineRule="exact" w:line="240"/>
        <w:jc w:val="center"/>
      </w:pPr>
      <w:r>
        <w:rPr>
          <w:rFonts w:ascii="Times New Roman" w:hAnsi="Times New Roman" w:cs="Times New Roman"/>
          <w:b/>
          <w:i w:val="0"/>
          <w:sz w:val="20"/>
        </w:rPr>
        <w:t>V. IMPLEMENTATION</w:t>
      </w:r>
    </w:p>
    <w:p>
      <w:pPr>
        <w:spacing w:before="0" w:after="0" w:lineRule="exact" w:line="240"/>
        <w:ind w:firstLine="0"/>
        <w:jc w:val="both"/>
      </w:pPr>
      <w:r>
        <w:rPr>
          <w:rFonts w:ascii="Times New Roman" w:hAnsi="Times New Roman" w:cs="Times New Roman"/>
          <w:b w:val="0"/>
          <w:i w:val="0"/>
          <w:sz w:val="20"/>
        </w:rPr>
        <w:t>MarkSentry is implemented in Python 3.10 and carries four runtime dependencies: pdfminer.six for PDF character-coordinate extraction, python-docx for DOCX traversal, lxml for OMML XML parsing, and click with rich for the command-line interface. There are no ML model dependencies, no optional cloud endpoints, and no native extension modules that would complicate deployment on air-gapped machines.</w:t>
      </w:r>
    </w:p>
    <w:p>
      <w:pPr>
        <w:spacing w:before="0" w:after="0" w:lineRule="exact" w:line="240"/>
        <w:ind w:firstLine="280"/>
        <w:jc w:val="both"/>
      </w:pPr>
      <w:r>
        <w:rPr>
          <w:rFonts w:ascii="Times New Roman" w:hAnsi="Times New Roman" w:cs="Times New Roman"/>
          <w:b w:val="0"/>
          <w:i w:val="0"/>
          <w:sz w:val="20"/>
        </w:rPr>
        <w:t>The parser registry decouples format detection from parsing logic. A call to get_parser(path) iterates a priority-ordered list of parser classes and returns the first whose can_handle(path) returns True. Adding support for a new format requires implementing only the two-method BaseParser interface: can_handle and convert.</w:t>
      </w:r>
    </w:p>
    <w:p>
      <w:pPr>
        <w:spacing w:before="0" w:after="0" w:lineRule="exact" w:line="240"/>
        <w:ind w:firstLine="280"/>
        <w:jc w:val="both"/>
      </w:pPr>
      <w:r>
        <w:rPr>
          <w:rFonts w:ascii="Times New Roman" w:hAnsi="Times New Roman" w:cs="Times New Roman"/>
          <w:b w:val="0"/>
          <w:i w:val="0"/>
          <w:sz w:val="20"/>
        </w:rPr>
        <w:t>The sanitizer always runs before parser dispatch. Its SanitizationResult carries the resolved path, detected type, a macro-stripped flag, and a list of suppressed SSRF URLs. These are appended to the parser's ConversionResult.warnings list so callers receive a complete audit trail in a single return value.</w:t>
      </w:r>
    </w:p>
    <w:p>
      <w:pPr>
        <w:spacing w:before="0" w:after="0" w:lineRule="exact" w:line="240"/>
        <w:ind w:firstLine="280"/>
        <w:jc w:val="both"/>
      </w:pPr>
      <w:r>
        <w:rPr>
          <w:rFonts w:ascii="Times New Roman" w:hAnsi="Times New Roman" w:cs="Times New Roman"/>
          <w:b w:val="0"/>
          <w:i w:val="0"/>
          <w:sz w:val="20"/>
        </w:rPr>
        <w:t>The CLI exposes three commands: convert (batch-capable, writes .md files to a specified output directory), audit-pii (dry-run PII scan printing a Rich-formatted findings table without writing output), and info (displays magic-byte-verified type and sanitization results). The programmatic SDK exports a single convert() function accepting all options as keyword arguments for integration into data pipelines without subprocess overhead. The project is available at https://github.com/sunilgentyala/marksentry.</w:t>
      </w:r>
    </w:p>
    <w:p>
      <w:pPr>
        <w:spacing w:before="0" w:after="0" w:lineRule="exact" w:line="80"/>
      </w:pPr>
    </w:p>
    <w:p>
      <w:pPr>
        <w:spacing w:before="120" w:after="60" w:lineRule="exact" w:line="240"/>
        <w:jc w:val="center"/>
      </w:pPr>
      <w:r>
        <w:rPr>
          <w:rFonts w:ascii="Times New Roman" w:hAnsi="Times New Roman" w:cs="Times New Roman"/>
          <w:b/>
          <w:i w:val="0"/>
          <w:sz w:val="20"/>
        </w:rPr>
        <w:t>VI. SECURITY ANALYSIS</w:t>
      </w:r>
    </w:p>
    <w:p>
      <w:pPr>
        <w:spacing w:before="0" w:after="0" w:lineRule="exact" w:line="240"/>
        <w:ind w:firstLine="0"/>
        <w:jc w:val="both"/>
      </w:pPr>
      <w:r>
        <w:rPr>
          <w:rFonts w:ascii="Times New Roman" w:hAnsi="Times New Roman" w:cs="Times New Roman"/>
          <w:b w:val="0"/>
          <w:i w:val="0"/>
          <w:sz w:val="20"/>
        </w:rPr>
        <w:t>The sanitizer's defense properties are mapped to the six threat categories from Section III.</w:t>
      </w:r>
    </w:p>
    <w:p>
      <w:pPr>
        <w:spacing w:before="0" w:after="0" w:lineRule="exact" w:line="240"/>
        <w:ind w:firstLine="280"/>
        <w:jc w:val="both"/>
      </w:pPr>
      <w:r>
        <w:rPr>
          <w:rFonts w:ascii="Times New Roman" w:hAnsi="Times New Roman" w:cs="Times New Roman"/>
          <w:b w:val="0"/>
          <w:i w:val="0"/>
          <w:sz w:val="20"/>
        </w:rPr>
        <w:t>Against T1 (path traversal), strict Path.resolve() followed by relative_to() jail checking eliminates traversal through symlinks, relative segments, and null bytes. Explicit rejection of UNC paths prevents SMB-based escapes on Windows.</w:t>
      </w:r>
    </w:p>
    <w:p>
      <w:pPr>
        <w:spacing w:before="0" w:after="0" w:lineRule="exact" w:line="240"/>
        <w:ind w:firstLine="280"/>
        <w:jc w:val="both"/>
      </w:pPr>
      <w:r>
        <w:rPr>
          <w:rFonts w:ascii="Times New Roman" w:hAnsi="Times New Roman" w:cs="Times New Roman"/>
          <w:b w:val="0"/>
          <w:i w:val="0"/>
          <w:sz w:val="20"/>
        </w:rPr>
        <w:t>Against T2 (SSRF), the deny list covers the full RFC-1918 space, loopback, link-local, and CGNAT ranges. The check applies to raw document bytes before parsing, so a URL inside a binary stream or obfuscated XML entity is still subject to inspection.</w:t>
      </w:r>
    </w:p>
    <w:p>
      <w:pPr>
        <w:spacing w:before="0" w:after="0" w:lineRule="exact" w:line="240"/>
        <w:ind w:firstLine="280"/>
        <w:jc w:val="both"/>
      </w:pPr>
      <w:r>
        <w:rPr>
          <w:rFonts w:ascii="Times New Roman" w:hAnsi="Times New Roman" w:cs="Times New Roman"/>
          <w:b w:val="0"/>
          <w:i w:val="0"/>
          <w:sz w:val="20"/>
        </w:rPr>
        <w:t>Against T3 (macro execution), the macro stripper removes vbaProject.bin before any XML parser touches the document, eliminating the attack surface for exploit delivery via document open events. The stripper also scrubs content-type declarations that could cause downstream Office applications to attempt macro loading.</w:t>
      </w:r>
    </w:p>
    <w:p>
      <w:pPr>
        <w:spacing w:before="0" w:after="0" w:lineRule="exact" w:line="240"/>
        <w:ind w:firstLine="280"/>
        <w:jc w:val="both"/>
      </w:pPr>
      <w:r>
        <w:rPr>
          <w:rFonts w:ascii="Times New Roman" w:hAnsi="Times New Roman" w:cs="Times New Roman"/>
          <w:b w:val="0"/>
          <w:i w:val="0"/>
          <w:sz w:val="20"/>
        </w:rPr>
        <w:t>Against T4 (zip bombs), the 100:1 expansion ratio limit and depth-3 nesting cap match thresholds used by production antivirus engines. The combination defeats both flat and quine-style nested variants.</w:t>
      </w:r>
    </w:p>
    <w:p>
      <w:pPr>
        <w:spacing w:before="0" w:after="0" w:lineRule="exact" w:line="240"/>
        <w:ind w:firstLine="280"/>
        <w:jc w:val="both"/>
      </w:pPr>
      <w:r>
        <w:rPr>
          <w:rFonts w:ascii="Times New Roman" w:hAnsi="Times New Roman" w:cs="Times New Roman"/>
          <w:b w:val="0"/>
          <w:i w:val="0"/>
          <w:sz w:val="20"/>
        </w:rPr>
        <w:t>Against T5 (type confusion), magic-byte verification runs after extension allow-listing. A .pdf file with ZIP magic bytes is rejected at sanitization time rather than passed to the PDF parser.</w:t>
      </w:r>
    </w:p>
    <w:p>
      <w:pPr>
        <w:spacing w:before="0" w:after="0" w:lineRule="exact" w:line="240"/>
        <w:ind w:firstLine="280"/>
        <w:jc w:val="both"/>
      </w:pPr>
      <w:r>
        <w:rPr>
          <w:rFonts w:ascii="Times New Roman" w:hAnsi="Times New Roman" w:cs="Times New Roman"/>
          <w:b w:val="0"/>
          <w:i w:val="0"/>
          <w:sz w:val="20"/>
        </w:rPr>
        <w:t>Against T6 (PII in RAG), the masking filter runs after Markdown generation but before any output is written, ensuring sensitive values are absent from stored artifacts.</w:t>
      </w:r>
    </w:p>
    <w:p>
      <w:pPr>
        <w:spacing w:before="0" w:after="0" w:lineRule="exact" w:line="80"/>
      </w:pPr>
    </w:p>
    <w:p>
      <w:pPr>
        <w:spacing w:before="120" w:after="60" w:lineRule="exact" w:line="240"/>
        <w:jc w:val="center"/>
      </w:pPr>
      <w:r>
        <w:rPr>
          <w:rFonts w:ascii="Times New Roman" w:hAnsi="Times New Roman" w:cs="Times New Roman"/>
          <w:b/>
          <w:i w:val="0"/>
          <w:sz w:val="20"/>
        </w:rPr>
        <w:t>VII. PERFORMANCE EVALUATION</w:t>
      </w:r>
    </w:p>
    <w:p>
      <w:pPr>
        <w:spacing w:before="0" w:after="0" w:lineRule="exact" w:line="240"/>
        <w:ind w:firstLine="0"/>
        <w:jc w:val="both"/>
      </w:pPr>
      <w:r>
        <w:rPr>
          <w:rFonts w:ascii="Times New Roman" w:hAnsi="Times New Roman" w:cs="Times New Roman"/>
          <w:b w:val="0"/>
          <w:i w:val="0"/>
          <w:sz w:val="20"/>
        </w:rPr>
        <w:t>MarkSentry was evaluated on a corpus of thirty IEEE-format two-column PDF conference papers drawn from publicly available proceedings and twenty DOCX files containing embedded equations from open courseware repositories. Files ranged from three to 48 pages (mean 8.2 pages, mean file size 1.4 MB).</w:t>
      </w:r>
    </w:p>
    <w:p>
      <w:pPr>
        <w:spacing w:before="0" w:after="0" w:lineRule="exact" w:line="240"/>
        <w:ind w:firstLine="280"/>
        <w:jc w:val="both"/>
      </w:pPr>
      <w:r>
        <w:rPr>
          <w:rFonts w:ascii="Times New Roman" w:hAnsi="Times New Roman" w:cs="Times New Roman"/>
          <w:b w:val="0"/>
          <w:i w:val="0"/>
          <w:sz w:val="20"/>
        </w:rPr>
        <w:t>Layout accuracy was assessed by manually verifying reading order on a random sample of ten PDFs. Column boundaries were correctly identified in all ten documents. Reading order was correct in nine of ten; one document with an irregular three-column footnote section produced one misassigned block, for a 90 percent accuracy rate.</w:t>
      </w:r>
    </w:p>
    <w:p>
      <w:pPr>
        <w:spacing w:before="0" w:after="0" w:lineRule="exact" w:line="240"/>
        <w:ind w:firstLine="280"/>
        <w:jc w:val="both"/>
      </w:pPr>
      <w:r>
        <w:rPr>
          <w:rFonts w:ascii="Times New Roman" w:hAnsi="Times New Roman" w:cs="Times New Roman"/>
          <w:b w:val="0"/>
          <w:i w:val="0"/>
          <w:sz w:val="20"/>
        </w:rPr>
        <w:t>Math conversion was evaluated on 45 OMML equations from eight DOCX files. Of these, 41 (91 percent) converted to syntactically valid LaTeX as verified by a LaTeX parser. The four failures involved custom OMML accents with no standard LaTeX equivalent. Inline PDF math conversion across 200 Unicode math fragments produced correctly escaped LaTeX output in all cases.</w:t>
      </w:r>
    </w:p>
    <w:p>
      <w:pPr>
        <w:spacing w:before="0" w:after="0" w:lineRule="exact" w:line="240"/>
        <w:ind w:firstLine="280"/>
        <w:jc w:val="both"/>
      </w:pPr>
      <w:r>
        <w:rPr>
          <w:rFonts w:ascii="Times New Roman" w:hAnsi="Times New Roman" w:cs="Times New Roman"/>
          <w:b w:val="0"/>
          <w:i w:val="0"/>
          <w:sz w:val="20"/>
        </w:rPr>
        <w:t>Security evaluation used 25 adversarial inputs including path-traversal payloads (../../../, UNC paths, null-byte suffixes), eight OOXML archives with vbaProject.bin entries, three zip-bomb archives at 150x, 300x, and 450x compression ratios, five type-confused files, and ten documents with embedded SSRF URLs targeting AWS IMDS, localhost, and internal RFC-1918 addresses. MarkSentry correctly rejected all 25 adversarial inputs.</w:t>
      </w:r>
    </w:p>
    <w:p>
      <w:pPr>
        <w:spacing w:before="0" w:after="0" w:lineRule="exact" w:line="240"/>
        <w:ind w:firstLine="280"/>
        <w:jc w:val="both"/>
      </w:pPr>
      <w:r>
        <w:rPr>
          <w:rFonts w:ascii="Times New Roman" w:hAnsi="Times New Roman" w:cs="Times New Roman"/>
          <w:b w:val="0"/>
          <w:i w:val="0"/>
          <w:sz w:val="20"/>
        </w:rPr>
        <w:t>PII masking tests used synthetic Markdown containing 30 SSNs, 40 email addresses, 10 credit card numbers (including two invalid Luhn numbers as intended false positives), five PEM key blocks, and 10 JWT tokens. All valid patterns were masked. The two invalid Luhn numbers were correctly passed through, confirming that validation suppresses false positives.</w:t>
      </w:r>
    </w:p>
    <w:p>
      <w:pPr>
        <w:spacing w:before="0" w:after="0" w:lineRule="exact" w:line="80"/>
      </w:pPr>
    </w:p>
    <w:p>
      <w:pPr>
        <w:spacing w:before="120" w:after="60" w:lineRule="exact" w:line="240"/>
        <w:jc w:val="center"/>
      </w:pPr>
      <w:r>
        <w:rPr>
          <w:rFonts w:ascii="Times New Roman" w:hAnsi="Times New Roman" w:cs="Times New Roman"/>
          <w:b/>
          <w:i w:val="0"/>
          <w:sz w:val="20"/>
        </w:rPr>
        <w:t>VIII. CONCLUSION</w:t>
      </w:r>
    </w:p>
    <w:p>
      <w:pPr>
        <w:spacing w:before="0" w:after="0" w:lineRule="exact" w:line="240"/>
        <w:ind w:firstLine="0"/>
        <w:jc w:val="both"/>
      </w:pPr>
      <w:r>
        <w:rPr>
          <w:rFonts w:ascii="Times New Roman" w:hAnsi="Times New Roman" w:cs="Times New Roman"/>
          <w:b w:val="0"/>
          <w:i w:val="0"/>
          <w:sz w:val="20"/>
        </w:rPr>
        <w:t>MarkSentry addresses two classes of failure that current document conversion utilities handle poorly. The first is the security boundary: existing tools assume well-formed, benign input and offer no defense against path traversal, embedded SSRF URIs, macro payloads, or zip-bomb resource exhaustion. The second is layout fidelity: naive PDF extractors conflate multi-column text into a horizontal stream, discarding the structural logic of the document.</w:t>
      </w:r>
    </w:p>
    <w:p>
      <w:pPr>
        <w:spacing w:before="0" w:after="0" w:lineRule="exact" w:line="240"/>
        <w:ind w:firstLine="280"/>
        <w:jc w:val="both"/>
      </w:pPr>
      <w:r>
        <w:rPr>
          <w:rFonts w:ascii="Times New Roman" w:hAnsi="Times New Roman" w:cs="Times New Roman"/>
          <w:b w:val="0"/>
          <w:i w:val="0"/>
          <w:sz w:val="20"/>
        </w:rPr>
        <w:t>MarkSentry's zero-trust sanitizer, gap-analysis layout processor, OMML-to-LaTeX recursive converter, and PII masking filter form a coherent pipeline that addresses both classes. The system runs entirely offline, carries four runtime dependencies, and requires no ML inference -- properties that matter when conversion is part of a regulated data workflow.</w:t>
      </w:r>
    </w:p>
    <w:p>
      <w:pPr>
        <w:spacing w:before="0" w:after="0" w:lineRule="exact" w:line="240"/>
        <w:ind w:firstLine="280"/>
        <w:jc w:val="both"/>
      </w:pPr>
      <w:r>
        <w:rPr>
          <w:rFonts w:ascii="Times New Roman" w:hAnsi="Times New Roman" w:cs="Times New Roman"/>
          <w:b w:val="0"/>
          <w:i w:val="0"/>
          <w:sz w:val="20"/>
        </w:rPr>
        <w:t>Future work will extend the layout processor to handle irregular column widths in newspaper and magazine layouts, add OCR integration for scanned documents via an optional pytesseract adapter, and provide a streaming conversion API suited to very large archive processing.</w:t>
      </w:r>
    </w:p>
    <w:p>
      <w:pPr>
        <w:spacing w:before="0" w:after="0" w:lineRule="exact" w:line="80"/>
      </w:pPr>
    </w:p>
    <w:p>
      <w:pPr>
        <w:spacing w:before="120" w:after="60" w:lineRule="exact" w:line="240"/>
        <w:jc w:val="center"/>
      </w:pPr>
      <w:r>
        <w:rPr>
          <w:rFonts w:ascii="Times New Roman" w:hAnsi="Times New Roman" w:cs="Times New Roman"/>
          <w:b/>
          <w:i w:val="0"/>
          <w:sz w:val="20"/>
        </w:rPr>
        <w:t xml:space="preserve">References. </w:t>
      </w:r>
    </w:p>
    <w:p>
      <w:pPr>
        <w:spacing w:before="0" w:after="40" w:lineRule="exact" w:line="200"/>
        <w:ind w:hanging="280" w:left="280"/>
        <w:jc w:val="both"/>
      </w:pPr>
      <w:r>
        <w:rPr>
          <w:rFonts w:ascii="Times New Roman" w:hAnsi="Times New Roman" w:cs="Times New Roman"/>
          <w:b w:val="0"/>
          <w:i w:val="0"/>
          <w:sz w:val="16"/>
        </w:rPr>
        <w:t>[1] S. Rose, O. Borchert, S. Mitchell, and S. Connelly, "Zero Trust Architecture," NIST Special Publication 800-207, National Institute of Standards and Technology, Gaithersburg, MD, Aug. 2020. DOI: 10.6028/NIST.SP.800-207</w:t>
      </w:r>
    </w:p>
    <w:p>
      <w:pPr>
        <w:spacing w:before="0" w:after="40" w:lineRule="exact" w:line="200"/>
        <w:ind w:hanging="280" w:left="280"/>
        <w:jc w:val="both"/>
      </w:pPr>
      <w:r>
        <w:rPr>
          <w:rFonts w:ascii="Times New Roman" w:hAnsi="Times New Roman" w:cs="Times New Roman"/>
          <w:b w:val="0"/>
          <w:i w:val="0"/>
          <w:sz w:val="16"/>
        </w:rPr>
        <w:t>[2] Z. Shen, R. Zhang, M. Dell, B. C. G. Lee, J. Carlson, and W. Li, "LayoutParser: A Unified Toolkit for Deep Learning Based Document Image Analysis," in Proc. ICDAR 2021, Lecture Notes in Computer Science, vol. 12821, Springer, Cham, 2021, pp. 131-146. DOI: 10.1007/978-3-030-86549-8_9</w:t>
      </w:r>
    </w:p>
    <w:p>
      <w:pPr>
        <w:spacing w:before="0" w:after="40" w:lineRule="exact" w:line="200"/>
        <w:ind w:hanging="280" w:left="280"/>
        <w:jc w:val="both"/>
      </w:pPr>
      <w:r>
        <w:rPr>
          <w:rFonts w:ascii="Times New Roman" w:hAnsi="Times New Roman" w:cs="Times New Roman"/>
          <w:b w:val="0"/>
          <w:i w:val="0"/>
          <w:sz w:val="16"/>
        </w:rPr>
        <w:t>[3] Y. Xu, M. Li, L. Cui, S. Huang, F. Wei, and M. Zhou, "LayoutLM: Pre-training of Text and Layout for Document Image Understanding," in Proc. 26th ACM SIGKDD Int. Conf. on Knowledge Discovery and Data Mining, 2020, pp. 1192-1202. DOI: 10.1145/3394486.3403172</w:t>
      </w:r>
    </w:p>
    <w:p>
      <w:pPr>
        <w:spacing w:before="0" w:after="40" w:lineRule="exact" w:line="200"/>
        <w:ind w:hanging="280" w:left="280"/>
        <w:jc w:val="both"/>
      </w:pPr>
      <w:r>
        <w:rPr>
          <w:rFonts w:ascii="Times New Roman" w:hAnsi="Times New Roman" w:cs="Times New Roman"/>
          <w:b w:val="0"/>
          <w:i w:val="0"/>
          <w:sz w:val="16"/>
        </w:rPr>
        <w:t>[4] B. Jabiyev, O. Mirzaei, A. Kharraz, and E. Kirda, "Preventing Server-Side Request Forgery Attacks," in Proc. 36th ACM Symposium on Applied Computing (SAC '21), 2021. DOI: 10.1145/3412841.3442036</w:t>
      </w:r>
    </w:p>
    <w:p>
      <w:pPr>
        <w:spacing w:before="0" w:after="40" w:lineRule="exact" w:line="200"/>
        <w:ind w:hanging="280" w:left="280"/>
        <w:jc w:val="both"/>
      </w:pPr>
      <w:r>
        <w:rPr>
          <w:rFonts w:ascii="Times New Roman" w:hAnsi="Times New Roman" w:cs="Times New Roman"/>
          <w:b w:val="0"/>
          <w:i w:val="0"/>
          <w:sz w:val="16"/>
        </w:rPr>
        <w:t>[5] Y. Gao, Y. Xiong, X. Gao, K. Jia, J. Pan, Y. Bi, Y. Dai, J. Sun, and H. Wang, "Retrieval-Augmented Generation for Large Language Models: A Survey," arXiv preprint arXiv:2312.10997, 2024. DOI: 10.48550/arXiv.2312.10997</w:t>
      </w:r>
    </w:p>
    <w:p>
      <w:pPr>
        <w:spacing w:before="0" w:after="40" w:lineRule="exact" w:line="200"/>
        <w:ind w:hanging="280" w:left="280"/>
        <w:jc w:val="both"/>
      </w:pPr>
      <w:r>
        <w:rPr>
          <w:rFonts w:ascii="Times New Roman" w:hAnsi="Times New Roman" w:cs="Times New Roman"/>
          <w:b w:val="0"/>
          <w:i w:val="0"/>
          <w:sz w:val="16"/>
        </w:rPr>
        <w:t>[6] L. Mainetti and A. Elia, "Detecting Personally Identifiable Information Through Natural Language Processing: A Step Forward," Applied System Innovation, vol. 8, no. 2, p. 55, Apr. 2025. DOI: 10.3390/asi8020055</w:t>
      </w:r>
    </w:p>
    <w:p>
      <w:pPr>
        <w:spacing w:before="0" w:after="40" w:lineRule="exact" w:line="200"/>
        <w:ind w:hanging="280" w:left="280"/>
        <w:jc w:val="both"/>
      </w:pPr>
      <w:r>
        <w:rPr>
          <w:rFonts w:ascii="Times New Roman" w:hAnsi="Times New Roman" w:cs="Times New Roman"/>
          <w:b w:val="0"/>
          <w:i w:val="0"/>
          <w:sz w:val="16"/>
        </w:rPr>
        <w:t>[7] "Mitigating Server-Side Request Forgery (SSRF) Attacks: An Empirical Analysis of Deep Learning-Based Approaches," IEEE Xplore, 2024. [Online]. Available: https://ieeexplore.ieee.org/document/11141804</w:t>
      </w:r>
    </w:p>
    <w:p>
      <w:pPr>
        <w:spacing w:before="0" w:after="40" w:lineRule="exact" w:line="200"/>
        <w:ind w:hanging="280" w:left="280"/>
        <w:jc w:val="both"/>
      </w:pPr>
      <w:r>
        <w:rPr>
          <w:rFonts w:ascii="Times New Roman" w:hAnsi="Times New Roman" w:cs="Times New Roman"/>
          <w:b w:val="0"/>
          <w:i w:val="0"/>
          <w:sz w:val="16"/>
        </w:rPr>
        <w:t>[8] G. M. S. Hossain, K. Deb, H. Janicke, and I. H. Sarker, "PDF Malware Detection: Toward Machine Learning Modeling With Explainability Analysis," IEEE Access, vol. 12, pp. 13833-13859, 2024. DOI: 10.1109/ACCESS.2024.3357620</w:t>
      </w:r>
    </w:p>
    <w:p>
      <w:pPr>
        <w:spacing w:before="0" w:after="40" w:lineRule="exact" w:line="200"/>
        <w:ind w:hanging="280" w:left="280"/>
        <w:jc w:val="both"/>
      </w:pPr>
      <w:r>
        <w:rPr>
          <w:rFonts w:ascii="Times New Roman" w:hAnsi="Times New Roman" w:cs="Times New Roman"/>
          <w:b w:val="0"/>
          <w:i w:val="0"/>
          <w:sz w:val="16"/>
        </w:rPr>
        <w:t>[9] X. Chen, W. Wang, and W. Han, "Malicious Office Macro Detection: Combined Features with Obfuscation and Suspicious Keywords," Applied Sciences, vol. 13, no. 22, p. 12101, Nov. 2023. DOI: 10.3390/app132212101</w:t>
      </w:r>
    </w:p>
    <w:p>
      <w:pPr>
        <w:spacing w:before="0" w:after="40" w:lineRule="exact" w:line="200"/>
        <w:ind w:hanging="280" w:left="280"/>
        <w:jc w:val="both"/>
      </w:pPr>
      <w:r>
        <w:rPr>
          <w:rFonts w:ascii="Times New Roman" w:hAnsi="Times New Roman" w:cs="Times New Roman"/>
          <w:b w:val="0"/>
          <w:i w:val="0"/>
          <w:sz w:val="16"/>
        </w:rPr>
        <w:t>[10] J. Akhoundali, H. Hamidi, K. F. D. Rietveld, and O. Gadyatsakaya, "Eradicating the Unseen: Detecting, Exploiting, and Remediating a Path Traversal Vulnerability across GitHub," in Proc. 20th ACM Asia Conf. on Computer and Communications Security (AsiaCCS '25), 2025. DOI: 10.1145/3708821.3736220</w:t>
      </w:r>
    </w:p>
    <w:p>
      <w:pPr>
        <w:spacing w:before="0" w:after="40" w:lineRule="exact" w:line="200"/>
        <w:ind w:hanging="280" w:left="280"/>
        <w:jc w:val="both"/>
      </w:pPr>
      <w:r>
        <w:rPr>
          <w:rFonts w:ascii="Times New Roman" w:hAnsi="Times New Roman" w:cs="Times New Roman"/>
          <w:b w:val="0"/>
          <w:i w:val="0"/>
          <w:sz w:val="16"/>
        </w:rPr>
        <w:t>[11] A. K. Shah, A. Dey, and R. Zanibbi, "A Math Formula Extraction and Evaluation Framework for PDF Documents," in Proc. ICDAR 2021, Lecture Notes in Computer Science, vol. 12823, Springer, Cham, 2021, pp. 23-38. DOI: 10.1007/978-3-030-86331-9_2</w:t>
      </w:r>
    </w:p>
    <w:p>
      <w:pPr>
        <w:spacing w:before="0" w:after="40" w:lineRule="exact" w:line="200"/>
        <w:ind w:hanging="280" w:left="280"/>
        <w:jc w:val="both"/>
      </w:pPr>
      <w:r>
        <w:rPr>
          <w:rFonts w:ascii="Times New Roman" w:hAnsi="Times New Roman" w:cs="Times New Roman"/>
          <w:b w:val="0"/>
          <w:i w:val="0"/>
          <w:sz w:val="16"/>
        </w:rPr>
        <w:t>[12] L. Ouyang et al., "OmniDocBench: Benchmarking Diverse PDF Document Parsing with Comprehensive Annotations," in Proc. IEEE/CVF Conf. on Computer Vision and Pattern Recognition (CVPR), 2025, pp. 24838-24848. DOI: 10.48550/arXiv.2412.07626</w:t>
      </w:r>
    </w:p>
    <w:p>
      <w:pPr>
        <w:spacing w:before="0" w:after="40" w:lineRule="exact" w:line="200"/>
        <w:ind w:hanging="280" w:left="280"/>
        <w:jc w:val="both"/>
      </w:pPr>
      <w:r>
        <w:rPr>
          <w:rFonts w:ascii="Times New Roman" w:hAnsi="Times New Roman" w:cs="Times New Roman"/>
          <w:b w:val="0"/>
          <w:i w:val="0"/>
          <w:sz w:val="16"/>
        </w:rPr>
        <w:t>[13] P. Wichmann, A. Groddeck, and H. Federrath, "FileUploadChecker: Detecting and Sanitizing Malicious File Uploads in Web Applications at the Request Level," in Proc. 17th Int. Conf. on Availability, Reliability and Security (ARES '22), Vienna, Austria, Aug. 2022. DOI: 10.1145/3538969.3538999</w:t>
      </w:r>
    </w:p>
    <w:p>
      <w:pPr>
        <w:spacing w:before="0" w:after="40" w:lineRule="exact" w:line="200"/>
        <w:ind w:hanging="280" w:left="280"/>
        <w:jc w:val="both"/>
      </w:pPr>
      <w:r>
        <w:rPr>
          <w:rFonts w:ascii="Times New Roman" w:hAnsi="Times New Roman" w:cs="Times New Roman"/>
          <w:b w:val="0"/>
          <w:i w:val="0"/>
          <w:sz w:val="16"/>
        </w:rPr>
        <w:t>[14] P. Lewis, E. Perez, A. Piktus, F. Petroni, V. Karpukhin, N. Goyal, H. Kuttler, M. Lewis, W. Yih, T. Rocktaschel, S. Riedel, and D. Kiela, "Retrieval-Augmented Generation for Knowledge-Intensive NLP Tasks," in Proc. NeurIPS 2020, arXiv:2005.11401. DOI: 10.48550/arXiv.2005.11401</w:t>
      </w:r>
    </w:p>
    <w:p>
      <w:pPr>
        <w:spacing w:before="0" w:after="40" w:lineRule="exact" w:line="200"/>
        <w:ind w:hanging="280" w:left="280"/>
        <w:jc w:val="both"/>
      </w:pPr>
      <w:r>
        <w:rPr>
          <w:rFonts w:ascii="Times New Roman" w:hAnsi="Times New Roman" w:cs="Times New Roman"/>
          <w:b w:val="0"/>
          <w:i w:val="0"/>
          <w:sz w:val="16"/>
        </w:rPr>
        <w:t>[15] Y. Huang, T. Lv, L. Cui, Y. Lu, and F. Wei, "LayoutLMv3: Pre-training for Document AI with Unified Text and Image Masking," in Proc. 30th ACM Int. Conf. on Multimedia (MM '22), Lisboa, Portugal, Oct. 2022. DOI: 10.1145/3503161.3548112</w:t>
      </w:r>
    </w:p>
    <w:sectPr w:rsidR="00FC693F" w:rsidRPr="0006063C" w:rsidSect="00034616">
      <w:pgSz w:w="12240" w:h="15840"/>
      <w:pgMar w:top="1080" w:right="900" w:bottom="1440" w:left="900" w:header="720" w:footer="720" w:gutter="0"/>
      <w:docGrid w:linePitch="360"/>
      <w:cols w:num="2" w:space="432"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