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32"/>
        </w:rPr>
        <w:t>Weaponized Weights: A Cryptographic Provenance and Binary Inspection Framework for Securing Machine Learning Model Artifacts in Enterprise MLOps Pipelines</w:t>
      </w:r>
    </w:p>
    <w:p>
      <w:pPr>
        <w:spacing w:after="40"/>
        <w:jc w:val="center"/>
      </w:pPr>
      <w:r>
        <w:rPr>
          <w:rFonts w:ascii="Times New Roman" w:hAnsi="Times New Roman"/>
          <w:b/>
          <w:sz w:val="22"/>
        </w:rPr>
        <w:t>Sunil Gentyala</w:t>
      </w:r>
    </w:p>
    <w:p>
      <w:pPr>
        <w:spacing w:before="0" w:after="20"/>
        <w:jc w:val="center"/>
      </w:pPr>
      <w:r>
        <w:rPr>
          <w:rFonts w:ascii="Times New Roman" w:hAnsi="Times New Roman"/>
          <w:sz w:val="20"/>
        </w:rPr>
        <w:t>HCLTech, Cybersecurity and AI Security Practice</w:t>
      </w:r>
    </w:p>
    <w:p>
      <w:pPr>
        <w:spacing w:before="0" w:after="20"/>
        <w:jc w:val="center"/>
      </w:pPr>
      <w:r>
        <w:rPr>
          <w:rFonts w:ascii="Times New Roman" w:hAnsi="Times New Roman"/>
          <w:sz w:val="20"/>
        </w:rPr>
        <w:t>Dallas, TX, USA</w:t>
      </w:r>
    </w:p>
    <w:p>
      <w:pPr>
        <w:spacing w:before="0" w:after="20"/>
        <w:jc w:val="center"/>
      </w:pPr>
      <w:r>
        <w:rPr>
          <w:rFonts w:ascii="Times New Roman" w:hAnsi="Times New Roman"/>
          <w:sz w:val="20"/>
        </w:rPr>
        <w:t>sunil.gentyala@ieee.org</w:t>
      </w:r>
    </w:p>
    <w:p/>
    <w:p>
      <w:pPr>
        <w:spacing w:after="40"/>
        <w:jc w:val="center"/>
      </w:pPr>
      <w:r>
        <w:rPr>
          <w:rFonts w:ascii="Times New Roman" w:hAnsi="Times New Roman"/>
          <w:b/>
          <w:sz w:val="22"/>
        </w:rPr>
        <w:t>Rakesh Prakash</w:t>
      </w:r>
    </w:p>
    <w:p>
      <w:pPr>
        <w:spacing w:before="0" w:after="20"/>
        <w:jc w:val="center"/>
      </w:pPr>
      <w:r>
        <w:rPr>
          <w:rFonts w:ascii="Times New Roman" w:hAnsi="Times New Roman"/>
          <w:sz w:val="20"/>
        </w:rPr>
        <w:t>University of Colorado Boulder, Department of Computer Science</w:t>
      </w:r>
    </w:p>
    <w:p>
      <w:pPr>
        <w:spacing w:before="0" w:after="20"/>
        <w:jc w:val="center"/>
      </w:pPr>
      <w:r>
        <w:rPr>
          <w:rFonts w:ascii="Times New Roman" w:hAnsi="Times New Roman"/>
          <w:sz w:val="20"/>
        </w:rPr>
        <w:t>Boulder, CO, USA</w:t>
      </w:r>
    </w:p>
    <w:p>
      <w:pPr>
        <w:spacing w:before="0" w:after="20"/>
        <w:jc w:val="center"/>
      </w:pPr>
      <w:r>
        <w:rPr>
          <w:rFonts w:ascii="Times New Roman" w:hAnsi="Times New Roman"/>
          <w:sz w:val="20"/>
        </w:rPr>
        <w:t>Rakesh.Prakash@colorado.edu</w:t>
      </w:r>
    </w:p>
    <w:p/>
    <w:p>
      <w:pPr>
        <w:spacing w:before="80" w:after="40"/>
        <w:jc w:val="left"/>
      </w:pPr>
      <w:r>
        <w:rPr>
          <w:rFonts w:ascii="Times New Roman" w:hAnsi="Times New Roman"/>
          <w:b/>
          <w:sz w:val="18"/>
        </w:rPr>
        <w:t xml:space="preserve">CCS Concepts: </w:t>
      </w:r>
      <w:r>
        <w:rPr>
          <w:rFonts w:ascii="Times New Roman" w:hAnsi="Times New Roman"/>
          <w:sz w:val="18"/>
        </w:rPr>
        <w:t>Security and privacy → Software security engineering; Security and privacy → Malware and its mitigation; Computing methodologies → Machine learning.</w:t>
      </w:r>
    </w:p>
    <w:p>
      <w:pPr>
        <w:spacing w:before="40" w:after="120"/>
      </w:pPr>
      <w:r>
        <w:rPr>
          <w:rFonts w:ascii="Times New Roman" w:hAnsi="Times New Roman"/>
          <w:b/>
          <w:sz w:val="18"/>
        </w:rPr>
        <w:t xml:space="preserve">Keywords: </w:t>
      </w:r>
      <w:r>
        <w:rPr>
          <w:rFonts w:ascii="Times New Roman" w:hAnsi="Times New Roman"/>
          <w:sz w:val="18"/>
        </w:rPr>
        <w:t>machine learning security, supply chain attack, model provenance, Safetensors, GGUF, pickle deserialization, MLOps, cryptographic verification, CI/CD security, binary inspection</w:t>
      </w:r>
    </w:p>
    <w:p>
      <w:pPr>
        <w:spacing w:before="80" w:after="80"/>
        <w:pBdr>
          <w:bottom w:val="single" w:sz="6" w:space="1" w:color="auto"/>
        </w:pBdr>
      </w:pPr>
    </w:p>
    <w:p>
      <w:pPr>
        <w:keepNext/>
        <w:spacing w:before="160" w:after="80"/>
      </w:pPr>
      <w:r>
        <w:rPr>
          <w:rFonts w:ascii="Times New Roman" w:hAnsi="Times New Roman"/>
          <w:b/>
          <w:sz w:val="20"/>
        </w:rPr>
        <w:t>ABSTRACT</w:t>
      </w:r>
    </w:p>
    <w:p>
      <w:pPr>
        <w:spacing w:before="80" w:after="80"/>
        <w:jc w:val="both"/>
      </w:pPr>
      <w:r>
        <w:rPr>
          <w:rFonts w:ascii="Times New Roman" w:hAnsi="Times New Roman"/>
          <w:i w:val="0"/>
          <w:sz w:val="20"/>
        </w:rPr>
        <w:t>The proliferation of publicly distributed machine learning model artifacts has introduced a structural security risk that conventional enterprise tooling is fundamentally ill-equipped to address. Weight files serialized in PyTorch checkpoint, Safetensors, and GGUF formats are routinely downloaded from public model repositories and admitted into production inference pipelines without binary-level inspection or cryptographic provenance verification. Existing static analysis, dynamic analysis, and antivirus infrastructure have no visibility into these binary weight formats, leaving organizations exposed to a class of supply chain attack that operates entirely below the application layer.</w:t>
      </w:r>
    </w:p>
    <w:p>
      <w:pPr>
        <w:spacing w:before="80" w:after="80"/>
        <w:jc w:val="both"/>
      </w:pPr>
      <w:r>
        <w:rPr>
          <w:rFonts w:ascii="Times New Roman" w:hAnsi="Times New Roman"/>
          <w:i w:val="0"/>
          <w:sz w:val="20"/>
        </w:rPr>
        <w:t>We present model-provenance-guard, a production-ready, open-source toolkit comprising a Python binary inspector (verify_weights.py) and a five-stage GitHub Actions provenance gate. The pipeline enforces SHA-256 hash verification against an internal trusted registry, Sigstore/Cosign cryptographic signature checking, pickle opcode scanning via picklescan, Safetensors header anomaly detection, and GGUF metadata key auditing before any artifact is promoted within a downstream pipeline. We evaluate the toolkit against eight synthetic adversarial test cases spanning dtype manipulation, data offset injection, magic byte substitution, and malformed JSON header attacks. The inspector achieved zero false negatives and zero false positives across all adversarial scenarios, demonstrating that shift-left provenance enforcement is both technically feasible and operationally practical at the CI/CD boundary.</w:t>
      </w:r>
    </w:p>
    <w:p>
      <w:pPr>
        <w:keepNext/>
        <w:spacing w:before="240" w:after="80"/>
      </w:pPr>
      <w:r>
        <w:rPr>
          <w:rFonts w:ascii="Times New Roman" w:hAnsi="Times New Roman"/>
          <w:b/>
          <w:sz w:val="22"/>
        </w:rPr>
        <w:t>1  INTRODUCTION</w:t>
      </w:r>
    </w:p>
    <w:p>
      <w:pPr>
        <w:spacing w:before="0" w:after="80"/>
        <w:jc w:val="both"/>
      </w:pPr>
      <w:r>
        <w:rPr>
          <w:rFonts w:ascii="Times New Roman" w:hAnsi="Times New Roman"/>
          <w:i w:val="0"/>
          <w:sz w:val="20"/>
        </w:rPr>
        <w:t>The security community's attention toward artificial intelligence systems has concentrated heavily on prompt injection and model output manipulation over the past two years. Those concerns are legitimate, but their prominence has allowed a structurally more dangerous threat to mature with insufficient scrutiny. Adversaries are no longer confined to crafting adversarial inputs at runtime. They are embedding threats directly inside compiled weight artifacts that machine learning engineers download from public repositories as a routine operational act.</w:t>
      </w:r>
    </w:p>
    <w:p>
      <w:pPr>
        <w:spacing w:before="0" w:after="80"/>
        <w:jc w:val="both"/>
      </w:pPr>
      <w:r>
        <w:rPr>
          <w:rFonts w:ascii="Times New Roman" w:hAnsi="Times New Roman"/>
          <w:i w:val="0"/>
          <w:sz w:val="20"/>
        </w:rPr>
        <w:t>The attack surface has migrated from the application layer to the binary layer, and the tooling most enterprises rely on for security assurance lacks any meaningful visibility there. Static application security testing (SAST) tools analyze source code. Dynamic application security testing (DAST) tools probe running applications. Antivirus engines match file content against known malware signatures. None of these approaches has any concept of what lies inside a 4-bit quantized GGUF binary, a Safetensors archive, or a PyTorch checkpoint serialized with Python's pickle protocol.</w:t>
      </w:r>
    </w:p>
    <w:p>
      <w:pPr>
        <w:spacing w:before="0" w:after="80"/>
        <w:jc w:val="both"/>
      </w:pPr>
      <w:r>
        <w:rPr>
          <w:rFonts w:ascii="Times New Roman" w:hAnsi="Times New Roman"/>
          <w:i w:val="0"/>
          <w:sz w:val="20"/>
        </w:rPr>
        <w:t>Three weight file formats account for the substantial majority of model artifacts in contemporary enterprise inference deployments. PyTorch .pt and .pth checkpoints use Python's pickle serialization protocol, which by design permits arbitrary Python objects to be deserialized, creating a direct remote code execution (RCE) vector at the moment torch.load() is called [2]. Safetensors was introduced specifically to eliminate deserialization-time code execution; however, its JSON header presents its own attack surface [8]. GGUF, the dominant format for quantized inference, includes a flexible metadata section with no schema enforcement, and multiple heap-buffer-overflow vulnerabilities in its reference parser were disclosed in early 2024 [11].</w:t>
      </w:r>
    </w:p>
    <w:p>
      <w:pPr>
        <w:spacing w:before="0" w:after="80"/>
        <w:jc w:val="both"/>
      </w:pPr>
      <w:r>
        <w:rPr>
          <w:rFonts w:ascii="Times New Roman" w:hAnsi="Times New Roman"/>
          <w:i w:val="0"/>
          <w:sz w:val="20"/>
        </w:rPr>
        <w:t>This paper makes the following contributions: (1) A format-level threat model covering PyTorch, Safetensors, and GGUF attack surfaces. (2) verify_weights.py, a binary inspector that performs header anomaly detection and metadata key auditing without loading tensor data. (3) A five-stage GitHub Actions provenance gate integrating registry hash verification, Sigstore/Cosign signature checking, picklescan analysis, and binary inspection. (4) An empirical evaluation against eight synthetic adversarial test cases with zero false negatives and zero false positives. (5) An open-source release at https://github.com/sunilgentyala/model-provenance-guard.</w:t>
      </w:r>
    </w:p>
    <w:p>
      <w:pPr>
        <w:keepNext/>
        <w:spacing w:before="240" w:after="80"/>
      </w:pPr>
      <w:r>
        <w:rPr>
          <w:rFonts w:ascii="Times New Roman" w:hAnsi="Times New Roman"/>
          <w:b/>
          <w:sz w:val="22"/>
        </w:rPr>
        <w:t>2  BACKGROUND AND RELATED WORK</w:t>
      </w:r>
    </w:p>
    <w:p>
      <w:pPr>
        <w:keepNext/>
        <w:spacing w:before="120" w:after="80"/>
      </w:pPr>
      <w:r>
        <w:rPr>
          <w:rFonts w:ascii="Times New Roman" w:hAnsi="Times New Roman"/>
          <w:b/>
          <w:sz w:val="20"/>
        </w:rPr>
        <w:t>2.1  Machine Learning Supply Chain Attacks</w:t>
      </w:r>
    </w:p>
    <w:p>
      <w:pPr>
        <w:spacing w:before="0" w:after="80"/>
        <w:jc w:val="both"/>
      </w:pPr>
      <w:r>
        <w:rPr>
          <w:rFonts w:ascii="Times New Roman" w:hAnsi="Times New Roman"/>
          <w:i w:val="0"/>
          <w:sz w:val="20"/>
        </w:rPr>
        <w:t>The concept of a software supply chain attack is well established in the security literature, but its application to machine learning weight artifacts is comparatively recent. Jiang et al. [4] conducted a systematic measurement study of malicious code poisoning attacks on pre-trained model hubs and found that attackers exploit the implicit trust engineers place in popular repository namespaces. Documented incidents on Hugging Face have confirmed that malicious model artifacts can execute reverse shell payloads at load time. The Communications of the ACM survey [5] argues that the combination of high download volumes and weak provenance controls makes model hubs uniquely attractive targets relative to traditional software package registries.</w:t>
      </w:r>
    </w:p>
    <w:p>
      <w:pPr>
        <w:spacing w:before="0" w:after="80"/>
        <w:jc w:val="both"/>
      </w:pPr>
      <w:r>
        <w:rPr>
          <w:rFonts w:ascii="Times New Roman" w:hAnsi="Times New Roman"/>
          <w:i w:val="0"/>
          <w:sz w:val="20"/>
        </w:rPr>
        <w:t>The zero-trust perspective on AI data pipelines, articulated by Mudusu and Gentyala [1], establishes that the never-trust-always-verify principle must be applied directly to data and model artifacts throughout the pipeline. That work demonstrates that cryptographic authentication and tamper-evident lineage tracking can achieve complete detection of data tampering and component impersonation in production AI systems. Our framework extends those principles specifically to weight file artifacts at the CI/CD intake boundary.</w:t>
      </w:r>
    </w:p>
    <w:p>
      <w:pPr>
        <w:keepNext/>
        <w:spacing w:before="120" w:after="80"/>
      </w:pPr>
      <w:r>
        <w:rPr>
          <w:rFonts w:ascii="Times New Roman" w:hAnsi="Times New Roman"/>
          <w:b/>
          <w:sz w:val="20"/>
        </w:rPr>
        <w:t>2.2  Pickle Deserialization in PyTorch Checkpoints</w:t>
      </w:r>
    </w:p>
    <w:p>
      <w:pPr>
        <w:spacing w:before="0" w:after="80"/>
        <w:jc w:val="both"/>
      </w:pPr>
      <w:r>
        <w:rPr>
          <w:rFonts w:ascii="Times New Roman" w:hAnsi="Times New Roman"/>
          <w:i w:val="0"/>
          <w:sz w:val="20"/>
        </w:rPr>
        <w:t>The vulnerability class most thoroughly studied in the context of ML weight files is pickle deserialization. Python's pickle module supports a __reduce__ protocol that enables arbitrary Python callables to execute during deserialization. Any torch.load() call on a maliciously constructed checkpoint can trigger operating system command execution without any user interaction [2]. Koishybayev et al. [2] present PickleBall, a secure deserialization system that intercepts pickle opcodes before object reconstruction and enforces a safe-by-default allowlist.</w:t>
      </w:r>
    </w:p>
    <w:p>
      <w:pPr>
        <w:keepNext/>
        <w:spacing w:before="120" w:after="80"/>
      </w:pPr>
      <w:r>
        <w:rPr>
          <w:rFonts w:ascii="Times New Roman" w:hAnsi="Times New Roman"/>
          <w:b/>
          <w:sz w:val="20"/>
        </w:rPr>
        <w:t>2.3  Safetensors Format and Header Security</w:t>
      </w:r>
    </w:p>
    <w:p>
      <w:pPr>
        <w:spacing w:before="0" w:after="80"/>
        <w:jc w:val="both"/>
      </w:pPr>
      <w:r>
        <w:rPr>
          <w:rFonts w:ascii="Times New Roman" w:hAnsi="Times New Roman"/>
          <w:i w:val="0"/>
          <w:sz w:val="20"/>
        </w:rPr>
        <w:t>The Safetensors format was developed by Hugging Face as a direct response to the RCE risks inherent in pickle-based serialization [8]. By replacing pickle with a JSON-encoded header followed by raw tensor byte data, Safetensors eliminates arbitrary code execution at load time. However, the header parsing step introduces its own attack surface through oversized JSON headers, malformed Unicode sequences, invalid tensor dtype values, and data offsets that exceed file boundaries. CryptoTensors [9] proposes extending this format with tensor-level encryption and embedded access control policies.</w:t>
      </w:r>
    </w:p>
    <w:p>
      <w:pPr>
        <w:keepNext/>
        <w:spacing w:before="120" w:after="80"/>
      </w:pPr>
      <w:r>
        <w:rPr>
          <w:rFonts w:ascii="Times New Roman" w:hAnsi="Times New Roman"/>
          <w:b/>
          <w:sz w:val="20"/>
        </w:rPr>
        <w:t>2.4  GGUF Format Vulnerabilities</w:t>
      </w:r>
    </w:p>
    <w:p>
      <w:pPr>
        <w:spacing w:before="0" w:after="80"/>
        <w:jc w:val="both"/>
      </w:pPr>
      <w:r>
        <w:rPr>
          <w:rFonts w:ascii="Times New Roman" w:hAnsi="Times New Roman"/>
          <w:i w:val="0"/>
          <w:sz w:val="20"/>
        </w:rPr>
        <w:t>GGUF, introduced in August 2023 and adopted as the standard distribution format for quantized models in the Ollama and llama.cpp ecosystems, presents a distinct set of security concerns. Cisco Talos disclosed three heap-buffer-overflow vulnerabilities in llama.cpp's GGUF parser in early 2024, arising from insufficient bounds checking in metadata key-value parsing. Additionally, researchers have demonstrated that quantization error provides sufficient numerical flexibility to construct adversarial models whose malicious behavior is invisible in full-precision analysis [11].</w:t>
      </w:r>
    </w:p>
    <w:p>
      <w:pPr>
        <w:keepNext/>
        <w:spacing w:before="120" w:after="80"/>
      </w:pPr>
      <w:r>
        <w:rPr>
          <w:rFonts w:ascii="Times New Roman" w:hAnsi="Times New Roman"/>
          <w:b/>
          <w:sz w:val="20"/>
        </w:rPr>
        <w:t>2.5  Neural Backdoor Attacks</w:t>
      </w:r>
    </w:p>
    <w:p>
      <w:pPr>
        <w:spacing w:before="0" w:after="80"/>
        <w:jc w:val="both"/>
      </w:pPr>
      <w:r>
        <w:rPr>
          <w:rFonts w:ascii="Times New Roman" w:hAnsi="Times New Roman"/>
          <w:i w:val="0"/>
          <w:sz w:val="20"/>
        </w:rPr>
        <w:t>The neural backdoor threat, formalized by Gu et al. in the seminal BadNets paper [3], involves poisoning model weights during training such that the model produces correct outputs on clean inputs but triggers a targeted misclassification on inputs containing a specific pattern. This attack class is undetectable by binary-level inspection: the weight file loads cleanly, passes format validation, and produces correct behavior under standard test inputs.</w:t>
      </w:r>
    </w:p>
    <w:p>
      <w:pPr>
        <w:keepNext/>
        <w:spacing w:before="120" w:after="80"/>
      </w:pPr>
      <w:r>
        <w:rPr>
          <w:rFonts w:ascii="Times New Roman" w:hAnsi="Times New Roman"/>
          <w:b/>
          <w:sz w:val="20"/>
        </w:rPr>
        <w:t>2.6  Software Artifact Signing</w:t>
      </w:r>
    </w:p>
    <w:p>
      <w:pPr>
        <w:spacing w:before="0" w:after="80"/>
        <w:jc w:val="both"/>
      </w:pPr>
      <w:r>
        <w:rPr>
          <w:rFonts w:ascii="Times New Roman" w:hAnsi="Times New Roman"/>
          <w:i w:val="0"/>
          <w:sz w:val="20"/>
        </w:rPr>
        <w:t>Sigstore [6] provides a keyless signing infrastructure that ties artifact signatures to ephemeral OIDC identity tokens, dramatically lowering the adoption barrier relative to traditional GPG-based signing. As of 2025, Sigstore underpins artifact signing for npm, PyPI, and Kubernetes, and the OpenSSF AI/ML Working Group has adapted these mechanisms specifically for model signing [15].</w:t>
      </w:r>
    </w:p>
    <w:p>
      <w:pPr>
        <w:keepNext/>
        <w:spacing w:before="120" w:after="80"/>
      </w:pPr>
      <w:r>
        <w:rPr>
          <w:rFonts w:ascii="Times New Roman" w:hAnsi="Times New Roman"/>
          <w:b/>
          <w:sz w:val="20"/>
        </w:rPr>
        <w:t>2.7  ML Provenance and Governance</w:t>
      </w:r>
    </w:p>
    <w:p>
      <w:pPr>
        <w:spacing w:before="0" w:after="80"/>
        <w:jc w:val="both"/>
      </w:pPr>
      <w:r>
        <w:rPr>
          <w:rFonts w:ascii="Times New Roman" w:hAnsi="Times New Roman"/>
          <w:i w:val="0"/>
          <w:sz w:val="20"/>
        </w:rPr>
        <w:t>Schlegel and Sattler [7] present a PROV-compliant provenance model for end-to-end ML pipelines that enables tamper-evident audit trails. Gentyala [12] frames the AI supply chain problem in terms of AI Software Bills of Materials, demonstrating that CycloneDX and SPDX can encode model weight metadata and cryptographic attestations. The NIST AI Risk Management Framework [13] and MITRE ATLAS [14] provide complementary governance scaffolding. The OWASP Top 10 for LLM Applications explicitly names supply chain compromise as a critical risk category [16].</w:t>
      </w:r>
    </w:p>
    <w:p>
      <w:pPr>
        <w:keepNext/>
        <w:spacing w:before="240" w:after="80"/>
      </w:pPr>
      <w:r>
        <w:rPr>
          <w:rFonts w:ascii="Times New Roman" w:hAnsi="Times New Roman"/>
          <w:b/>
          <w:sz w:val="22"/>
        </w:rPr>
        <w:t>3  THREAT MODEL</w:t>
      </w:r>
    </w:p>
    <w:p>
      <w:pPr>
        <w:keepNext/>
        <w:spacing w:before="120" w:after="80"/>
      </w:pPr>
      <w:r>
        <w:rPr>
          <w:rFonts w:ascii="Times New Roman" w:hAnsi="Times New Roman"/>
          <w:b/>
          <w:sz w:val="20"/>
        </w:rPr>
        <w:t>3.1  Adversary Model</w:t>
      </w:r>
    </w:p>
    <w:p>
      <w:pPr>
        <w:spacing w:before="0" w:after="80"/>
        <w:jc w:val="both"/>
      </w:pPr>
      <w:r>
        <w:rPr>
          <w:rFonts w:ascii="Times New Roman" w:hAnsi="Times New Roman"/>
          <w:i w:val="0"/>
          <w:sz w:val="20"/>
        </w:rPr>
        <w:t>We consider a threat actor who has obtained write access to a model repository on a public model hub through account compromise of a legitimate model publisher, submission of a malicious pull request, or creation of a confusingly named fork. The adversary's goal is to deliver a weaponized weight artifact to at least one GPU-enabled inference endpoint inside a target enterprise environment. We assume the target organization's CI/CD pipeline downloads model artifacts automatically from external sources as part of its standard model update workflow.</w:t>
      </w:r>
    </w:p>
    <w:p>
      <w:pPr>
        <w:keepNext/>
        <w:spacing w:before="120" w:after="80"/>
      </w:pPr>
      <w:r>
        <w:rPr>
          <w:rFonts w:ascii="Times New Roman" w:hAnsi="Times New Roman"/>
          <w:b/>
          <w:sz w:val="20"/>
        </w:rPr>
        <w:t>3.2  PyTorch Checkpoint Attack Surface</w:t>
      </w:r>
    </w:p>
    <w:p>
      <w:pPr>
        <w:spacing w:before="0" w:after="80"/>
        <w:jc w:val="both"/>
      </w:pPr>
      <w:r>
        <w:rPr>
          <w:rFonts w:ascii="Times New Roman" w:hAnsi="Times New Roman"/>
          <w:i w:val="0"/>
          <w:sz w:val="20"/>
        </w:rPr>
        <w:t>PyTorch checkpoints use Python's pickle serialization protocol. The pickle module supports a __reduce__ method that, when present on a serialized object, is called by the deserializer to reconstruct the object. An attacker can craft a checkpoint that includes an object whose __reduce__ method returns a callable paired with arguments, effectively embedding an arbitrary function call that executes the moment torch.load() is invoked. Common payloads include reverse shells, credential harvesters, and persistence mechanisms.</w:t>
      </w:r>
    </w:p>
    <w:p>
      <w:pPr>
        <w:keepNext/>
        <w:spacing w:before="120" w:after="80"/>
      </w:pPr>
      <w:r>
        <w:rPr>
          <w:rFonts w:ascii="Times New Roman" w:hAnsi="Times New Roman"/>
          <w:b/>
          <w:sz w:val="20"/>
        </w:rPr>
        <w:t>3.3  Safetensors Attack Surface</w:t>
      </w:r>
    </w:p>
    <w:p>
      <w:pPr>
        <w:spacing w:before="0" w:after="80"/>
        <w:jc w:val="both"/>
      </w:pPr>
      <w:r>
        <w:rPr>
          <w:rFonts w:ascii="Times New Roman" w:hAnsi="Times New Roman"/>
          <w:i w:val="0"/>
          <w:sz w:val="20"/>
        </w:rPr>
        <w:t>While the Safetensors format eliminates deserialization-time code execution, it introduces three distinct attack surfaces. First, the JSON header is vulnerable to parser exploits through oversized headers and deeply nested structures. Second, the __metadata__ dictionary accepts arbitrary string key-value pairs with no schema enforcement. Third, and most consequentially, Safetensors files can carry weights poisoned at training time [3]. The file loads cleanly under all format-level checks; the backdoor activates only on attacker-chosen inputs.</w:t>
      </w:r>
    </w:p>
    <w:p>
      <w:pPr>
        <w:keepNext/>
        <w:spacing w:before="120" w:after="80"/>
      </w:pPr>
      <w:r>
        <w:rPr>
          <w:rFonts w:ascii="Times New Roman" w:hAnsi="Times New Roman"/>
          <w:b/>
          <w:sz w:val="20"/>
        </w:rPr>
        <w:t>3.4  GGUF Attack Surface</w:t>
      </w:r>
    </w:p>
    <w:p>
      <w:pPr>
        <w:spacing w:before="0" w:after="80"/>
        <w:jc w:val="both"/>
      </w:pPr>
      <w:r>
        <w:rPr>
          <w:rFonts w:ascii="Times New Roman" w:hAnsi="Times New Roman"/>
          <w:i w:val="0"/>
          <w:sz w:val="20"/>
        </w:rPr>
        <w:t>GGUF's binary metadata section has no schema enforcement beyond type tagging. A threat actor can embed arbitrary data under custom metadata keys; in native C and C++ consumers, keys or values whose lengths exceed what the consuming code anticipates can trigger heap-based buffer overflows. The version field controls how the remainder of the file is parsed; supplying an unsupported version value can trigger undefined behavior in parsers without explicit version gating.</w:t>
      </w:r>
    </w:p>
    <w:p>
      <w:pPr>
        <w:keepNext/>
        <w:spacing w:before="120" w:after="80"/>
      </w:pPr>
      <w:r>
        <w:rPr>
          <w:rFonts w:ascii="Times New Roman" w:hAnsi="Times New Roman"/>
          <w:b/>
          <w:sz w:val="20"/>
        </w:rPr>
        <w:t>3.5  Practical Attack Path</w:t>
      </w:r>
    </w:p>
    <w:p>
      <w:pPr>
        <w:spacing w:before="0" w:after="80"/>
        <w:jc w:val="both"/>
      </w:pPr>
      <w:r>
        <w:rPr>
          <w:rFonts w:ascii="Times New Roman" w:hAnsi="Times New Roman"/>
          <w:i w:val="0"/>
          <w:sz w:val="20"/>
        </w:rPr>
        <w:t>The end-to-end attack path requires no novel infrastructure. The actor creates a Hugging Face account whose name differs from a popular publisher by a single character transposition. They publish a modified checkpoint whose malicious payload is embedded in a tensor never accessed during standard evaluation. Engineers performing searches encounter the forked repository, pull the artifact, and it clears all code-focused CI checks because no ML model inspection is configured. The artifact is registered in the internal model registry, promoted to staging, and eventually deployed to a production inference endpoint.</w:t>
      </w:r>
    </w:p>
    <w:p>
      <w:pPr>
        <w:keepNext/>
        <w:spacing w:before="240" w:after="80"/>
      </w:pPr>
      <w:r>
        <w:rPr>
          <w:rFonts w:ascii="Times New Roman" w:hAnsi="Times New Roman"/>
          <w:b/>
          <w:sz w:val="22"/>
        </w:rPr>
        <w:t>4  SYSTEM ARCHITECTURE</w:t>
      </w:r>
    </w:p>
    <w:p>
      <w:pPr>
        <w:keepNext/>
        <w:spacing w:before="120" w:after="80"/>
      </w:pPr>
      <w:r>
        <w:rPr>
          <w:rFonts w:ascii="Times New Roman" w:hAnsi="Times New Roman"/>
          <w:b/>
          <w:sz w:val="20"/>
        </w:rPr>
        <w:t>4.1  Design Principles</w:t>
      </w:r>
    </w:p>
    <w:p>
      <w:pPr>
        <w:spacing w:before="0" w:after="80"/>
        <w:jc w:val="both"/>
      </w:pPr>
      <w:r>
        <w:rPr>
          <w:rFonts w:ascii="Times New Roman" w:hAnsi="Times New Roman"/>
          <w:i w:val="0"/>
          <w:sz w:val="20"/>
        </w:rPr>
        <w:t>The model-provenance-guard framework is grounded in four design principles derived from established supply chain security practice and the zero-trust architecture posture described by Mudusu and Gentyala [1].</w:t>
      </w:r>
    </w:p>
    <w:p>
      <w:pPr>
        <w:spacing w:before="60" w:after="80"/>
        <w:jc w:val="both"/>
      </w:pPr>
      <w:r>
        <w:rPr>
          <w:rFonts w:ascii="Times New Roman" w:hAnsi="Times New Roman"/>
          <w:b/>
          <w:i w:val="0"/>
          <w:sz w:val="20"/>
        </w:rPr>
        <w:t>Shift-left enforcement.</w:t>
      </w:r>
      <w:r>
        <w:rPr>
          <w:rFonts w:ascii="Times New Roman" w:hAnsi="Times New Roman"/>
          <w:b w:val="0"/>
          <w:i w:val="0"/>
          <w:sz w:val="20"/>
        </w:rPr>
        <w:t xml:space="preserve"> Provenance checks must occur at the model intake boundary, before any artifact is registered in an internal model registry or promoted beyond the staging environment.</w:t>
      </w:r>
    </w:p>
    <w:p>
      <w:pPr>
        <w:spacing w:before="60" w:after="80"/>
        <w:jc w:val="both"/>
      </w:pPr>
      <w:r>
        <w:rPr>
          <w:rFonts w:ascii="Times New Roman" w:hAnsi="Times New Roman"/>
          <w:b/>
          <w:i w:val="0"/>
          <w:sz w:val="20"/>
        </w:rPr>
        <w:t>Defense in depth.</w:t>
      </w:r>
      <w:r>
        <w:rPr>
          <w:rFonts w:ascii="Times New Roman" w:hAnsi="Times New Roman"/>
          <w:b w:val="0"/>
          <w:i w:val="0"/>
          <w:sz w:val="20"/>
        </w:rPr>
        <w:t xml:space="preserve"> No single control is sufficient. Hash verification, signature verification, and binary inspection each address a distinct portion of the threat surface.</w:t>
      </w:r>
    </w:p>
    <w:p>
      <w:pPr>
        <w:spacing w:before="60" w:after="80"/>
        <w:jc w:val="both"/>
      </w:pPr>
      <w:r>
        <w:rPr>
          <w:rFonts w:ascii="Times New Roman" w:hAnsi="Times New Roman"/>
          <w:b/>
          <w:i w:val="0"/>
          <w:sz w:val="20"/>
        </w:rPr>
        <w:t>Hard failures, not warnings.</w:t>
      </w:r>
      <w:r>
        <w:rPr>
          <w:rFonts w:ascii="Times New Roman" w:hAnsi="Times New Roman"/>
          <w:b w:val="0"/>
          <w:i w:val="0"/>
          <w:sz w:val="20"/>
        </w:rPr>
        <w:t xml:space="preserve"> Any control failure must block pipeline progression. A gate that emits warnings while allowing promotion provides no practical security benefit.</w:t>
      </w:r>
    </w:p>
    <w:p>
      <w:pPr>
        <w:spacing w:before="60" w:after="80"/>
        <w:jc w:val="both"/>
      </w:pPr>
      <w:r>
        <w:rPr>
          <w:rFonts w:ascii="Times New Roman" w:hAnsi="Times New Roman"/>
          <w:b/>
          <w:i w:val="0"/>
          <w:sz w:val="20"/>
        </w:rPr>
        <w:t>Registry integrity bootstrapping.</w:t>
      </w:r>
      <w:r>
        <w:rPr>
          <w:rFonts w:ascii="Times New Roman" w:hAnsi="Times New Roman"/>
          <w:b w:val="0"/>
          <w:i w:val="0"/>
          <w:sz w:val="20"/>
        </w:rPr>
        <w:t xml:space="preserve"> The trusted hash registry must itself be protected against tampering. The pipeline validates the registry's own SHA-256 hash before accepting any registry lookup result.</w:t>
      </w:r>
    </w:p>
    <w:p>
      <w:pPr>
        <w:keepNext/>
        <w:spacing w:before="120" w:after="80"/>
      </w:pPr>
      <w:r>
        <w:rPr>
          <w:rFonts w:ascii="Times New Roman" w:hAnsi="Times New Roman"/>
          <w:b/>
          <w:sz w:val="20"/>
        </w:rPr>
        <w:t>4.2  Pipeline Architecture</w:t>
      </w:r>
    </w:p>
    <w:p>
      <w:pPr>
        <w:spacing w:before="0" w:after="80"/>
        <w:jc w:val="both"/>
      </w:pPr>
      <w:r>
        <w:rPr>
          <w:rFonts w:ascii="Times New Roman" w:hAnsi="Times New Roman"/>
          <w:i w:val="0"/>
          <w:sz w:val="20"/>
        </w:rPr>
        <w:t>The provenance gate is implemented as a GitHub Actions workflow with five sequentially dependent jobs. Table 1 summarizes each job and its security objective.</w:t>
      </w:r>
    </w:p>
    <w:tbl>
      <w:tblPr>
        <w:tblStyle w:val="TableGrid"/>
        <w:tblW w:type="auto" w:w="0"/>
        <w:jc w:val="center"/>
        <w:tblLook w:firstColumn="1" w:firstRow="1" w:lastColumn="0" w:lastRow="0" w:noHBand="0" w:noVBand="1" w:val="04A0"/>
      </w:tblPr>
      <w:tblGrid>
        <w:gridCol w:w="5040"/>
        <w:gridCol w:w="5040"/>
      </w:tblGrid>
      <w:tr>
        <w:tc>
          <w:tcPr>
            <w:tcW w:type="dxa" w:w="5040"/>
            <w:shd w:val="clear" w:color="auto" w:fill="D9D9D9"/>
          </w:tcPr>
          <w:p>
            <w:pPr>
              <w:spacing w:before="40" w:after="40"/>
            </w:pPr>
            <w:r>
              <w:rPr>
                <w:rFonts w:ascii="Times New Roman" w:hAnsi="Times New Roman"/>
                <w:b/>
                <w:sz w:val="18"/>
              </w:rPr>
              <w:t>Job</w:t>
            </w:r>
          </w:p>
        </w:tc>
        <w:tc>
          <w:tcPr>
            <w:tcW w:type="dxa" w:w="5040"/>
            <w:shd w:val="clear" w:color="auto" w:fill="D9D9D9"/>
          </w:tcPr>
          <w:p>
            <w:pPr>
              <w:spacing w:before="40" w:after="40"/>
            </w:pPr>
            <w:r>
              <w:rPr>
                <w:rFonts w:ascii="Times New Roman" w:hAnsi="Times New Roman"/>
                <w:b/>
                <w:sz w:val="18"/>
              </w:rPr>
              <w:t>Security Objective</w:t>
            </w:r>
          </w:p>
        </w:tc>
      </w:tr>
      <w:tr>
        <w:tc>
          <w:tcPr>
            <w:tcW w:type="dxa" w:w="5040"/>
          </w:tcPr>
          <w:p>
            <w:pPr>
              <w:spacing w:before="40" w:after="40"/>
            </w:pPr>
            <w:r>
              <w:rPr>
                <w:rFonts w:ascii="Times New Roman" w:hAnsi="Times New Roman"/>
                <w:sz w:val="18"/>
              </w:rPr>
              <w:t>1. Registry Integrity Check</w:t>
            </w:r>
          </w:p>
        </w:tc>
        <w:tc>
          <w:tcPr>
            <w:tcW w:type="dxa" w:w="5040"/>
          </w:tcPr>
          <w:p>
            <w:pPr>
              <w:spacing w:before="40" w:after="40"/>
            </w:pPr>
            <w:r>
              <w:rPr>
                <w:rFonts w:ascii="Times New Roman" w:hAnsi="Times New Roman"/>
                <w:sz w:val="18"/>
              </w:rPr>
              <w:t>Computes SHA-256 of trusted_models.json and compares against a sealed repository secret.</w:t>
            </w:r>
          </w:p>
        </w:tc>
      </w:tr>
      <w:tr>
        <w:tc>
          <w:tcPr>
            <w:tcW w:type="dxa" w:w="5040"/>
          </w:tcPr>
          <w:p>
            <w:pPr>
              <w:spacing w:before="40" w:after="40"/>
            </w:pPr>
            <w:r>
              <w:rPr>
                <w:rFonts w:ascii="Times New Roman" w:hAnsi="Times New Roman"/>
                <w:sz w:val="18"/>
              </w:rPr>
              <w:t>2. Hash Verification</w:t>
            </w:r>
          </w:p>
        </w:tc>
        <w:tc>
          <w:tcPr>
            <w:tcW w:type="dxa" w:w="5040"/>
          </w:tcPr>
          <w:p>
            <w:pPr>
              <w:spacing w:before="40" w:after="40"/>
            </w:pPr>
            <w:r>
              <w:rPr>
                <w:rFonts w:ascii="Times New Roman" w:hAnsi="Times New Roman"/>
                <w:sz w:val="18"/>
              </w:rPr>
              <w:t>Downloads artifact, computes SHA-256, and checks against the trusted registry, not the model card.</w:t>
            </w:r>
          </w:p>
        </w:tc>
      </w:tr>
      <w:tr>
        <w:tc>
          <w:tcPr>
            <w:tcW w:type="dxa" w:w="5040"/>
          </w:tcPr>
          <w:p>
            <w:pPr>
              <w:spacing w:before="40" w:after="40"/>
            </w:pPr>
            <w:r>
              <w:rPr>
                <w:rFonts w:ascii="Times New Roman" w:hAnsi="Times New Roman"/>
                <w:sz w:val="18"/>
              </w:rPr>
              <w:t>3. Cosign Signature Verification</w:t>
            </w:r>
          </w:p>
        </w:tc>
        <w:tc>
          <w:tcPr>
            <w:tcW w:type="dxa" w:w="5040"/>
          </w:tcPr>
          <w:p>
            <w:pPr>
              <w:spacing w:before="40" w:after="40"/>
            </w:pPr>
            <w:r>
              <w:rPr>
                <w:rFonts w:ascii="Times New Roman" w:hAnsi="Times New Roman"/>
                <w:sz w:val="18"/>
              </w:rPr>
              <w:t>Verifies .bundle or .sig file against an organization public key stored as a repository secret.</w:t>
            </w:r>
          </w:p>
        </w:tc>
      </w:tr>
      <w:tr>
        <w:tc>
          <w:tcPr>
            <w:tcW w:type="dxa" w:w="5040"/>
          </w:tcPr>
          <w:p>
            <w:pPr>
              <w:spacing w:before="40" w:after="40"/>
            </w:pPr>
            <w:r>
              <w:rPr>
                <w:rFonts w:ascii="Times New Roman" w:hAnsi="Times New Roman"/>
                <w:sz w:val="18"/>
              </w:rPr>
              <w:t>4. Binary Format Inspection</w:t>
            </w:r>
          </w:p>
        </w:tc>
        <w:tc>
          <w:tcPr>
            <w:tcW w:type="dxa" w:w="5040"/>
          </w:tcPr>
          <w:p>
            <w:pPr>
              <w:spacing w:before="40" w:after="40"/>
            </w:pPr>
            <w:r>
              <w:rPr>
                <w:rFonts w:ascii="Times New Roman" w:hAnsi="Times New Roman"/>
                <w:sz w:val="18"/>
              </w:rPr>
              <w:t>Routes to picklescan (PyTorch) or verify_weights.py (Safetensors/GGUF) based on file extension.</w:t>
            </w:r>
          </w:p>
        </w:tc>
      </w:tr>
      <w:tr>
        <w:tc>
          <w:tcPr>
            <w:tcW w:type="dxa" w:w="5040"/>
          </w:tcPr>
          <w:p>
            <w:pPr>
              <w:spacing w:before="40" w:after="40"/>
            </w:pPr>
            <w:r>
              <w:rPr>
                <w:rFonts w:ascii="Times New Roman" w:hAnsi="Times New Roman"/>
                <w:sz w:val="18"/>
              </w:rPr>
              <w:t>5. Provenance Gate</w:t>
            </w:r>
          </w:p>
        </w:tc>
        <w:tc>
          <w:tcPr>
            <w:tcW w:type="dxa" w:w="5040"/>
          </w:tcPr>
          <w:p>
            <w:pPr>
              <w:spacing w:before="40" w:after="40"/>
            </w:pPr>
            <w:r>
              <w:rPr>
                <w:rFonts w:ascii="Times New Roman" w:hAnsi="Times New Roman"/>
                <w:sz w:val="18"/>
              </w:rPr>
              <w:t>Evaluates all upstream results. Fails the pipeline if any required job did not succeed.</w:t>
            </w:r>
          </w:p>
        </w:tc>
      </w:tr>
    </w:tbl>
    <w:p>
      <w:pPr>
        <w:spacing w:before="80"/>
      </w:pPr>
      <w:r>
        <w:rPr>
          <w:rFonts w:ascii="Times New Roman" w:hAnsi="Times New Roman"/>
          <w:i/>
          <w:sz w:val="18"/>
        </w:rPr>
        <w:t>Table 1: Five-stage provenance gate pipeline jobs.</w:t>
      </w:r>
    </w:p>
    <w:p>
      <w:pPr>
        <w:keepNext/>
        <w:spacing w:before="120" w:after="80"/>
      </w:pPr>
      <w:r>
        <w:rPr>
          <w:rFonts w:ascii="Times New Roman" w:hAnsi="Times New Roman"/>
          <w:b/>
          <w:sz w:val="20"/>
        </w:rPr>
        <w:t>4.3  Trusted Registry Design</w:t>
      </w:r>
    </w:p>
    <w:p>
      <w:pPr>
        <w:spacing w:before="0" w:after="80"/>
        <w:jc w:val="both"/>
      </w:pPr>
      <w:r>
        <w:rPr>
          <w:rFonts w:ascii="Times New Roman" w:hAnsi="Times New Roman"/>
          <w:i w:val="0"/>
          <w:sz w:val="20"/>
        </w:rPr>
        <w:t>The trusted model registry is a JSON file maintained in the same repository as the workflow, protected by branch protection rules requiring at least one approved reviewer on any pull request that modifies it. Each entry records the model name, artifact filename, SHA-256 hash computed by a human reviewer at initial review time, source URL and commit hash, reviewing engineer's identity, review timestamp, and an optional Cosign bundle path.</w:t>
      </w:r>
    </w:p>
    <w:p>
      <w:pPr>
        <w:spacing w:before="0" w:after="80"/>
        <w:jc w:val="both"/>
      </w:pPr>
      <w:r>
        <w:rPr>
          <w:rFonts w:ascii="Times New Roman" w:hAnsi="Times New Roman"/>
          <w:i w:val="0"/>
          <w:sz w:val="20"/>
        </w:rPr>
        <w:t>A critical design decision is that the trusted hash must be computed by a human reviewer from the artifact at initial review time and must not be sourced from the model card or model hub metadata. An adversary with control over a model repository can update the published hash at any time. Only hashes computed independently and stored in a separately controlled registry can provide supply chain integrity guarantees.</w:t>
      </w:r>
    </w:p>
    <w:p>
      <w:pPr>
        <w:keepNext/>
        <w:spacing w:before="240" w:after="80"/>
      </w:pPr>
      <w:r>
        <w:rPr>
          <w:rFonts w:ascii="Times New Roman" w:hAnsi="Times New Roman"/>
          <w:b/>
          <w:sz w:val="22"/>
        </w:rPr>
        <w:t>5  IMPLEMENTATION</w:t>
      </w:r>
    </w:p>
    <w:p>
      <w:pPr>
        <w:keepNext/>
        <w:spacing w:before="120" w:after="80"/>
      </w:pPr>
      <w:r>
        <w:rPr>
          <w:rFonts w:ascii="Times New Roman" w:hAnsi="Times New Roman"/>
          <w:b/>
          <w:sz w:val="20"/>
        </w:rPr>
        <w:t>5.1  Safetensors Header Inspector</w:t>
      </w:r>
    </w:p>
    <w:p>
      <w:pPr>
        <w:spacing w:before="0" w:after="80"/>
        <w:jc w:val="both"/>
      </w:pPr>
      <w:r>
        <w:rPr>
          <w:rFonts w:ascii="Times New Roman" w:hAnsi="Times New Roman"/>
          <w:i w:val="0"/>
          <w:sz w:val="20"/>
        </w:rPr>
        <w:t>The inspect_safetensors() function performs seven checks before returning a pass or fail verdict, and in no case does it load tensor data into memory.</w:t>
      </w:r>
    </w:p>
    <w:p>
      <w:pPr>
        <w:spacing w:before="60" w:after="80"/>
        <w:jc w:val="both"/>
      </w:pPr>
      <w:r>
        <w:rPr>
          <w:rFonts w:ascii="Times New Roman" w:hAnsi="Times New Roman"/>
          <w:b/>
          <w:i w:val="0"/>
          <w:sz w:val="20"/>
        </w:rPr>
        <w:t>Check 1: Minimum file size.</w:t>
      </w:r>
      <w:r>
        <w:rPr>
          <w:rFonts w:ascii="Times New Roman" w:hAnsi="Times New Roman"/>
          <w:b w:val="0"/>
          <w:i w:val="0"/>
          <w:sz w:val="20"/>
        </w:rPr>
        <w:t xml:space="preserve"> A file smaller than eight bytes cannot be a valid Safetensors file and is rejected immediately.</w:t>
      </w:r>
    </w:p>
    <w:p>
      <w:pPr>
        <w:spacing w:before="60" w:after="80"/>
        <w:jc w:val="both"/>
      </w:pPr>
      <w:r>
        <w:rPr>
          <w:rFonts w:ascii="Times New Roman" w:hAnsi="Times New Roman"/>
          <w:b/>
          <w:i w:val="0"/>
          <w:sz w:val="20"/>
        </w:rPr>
        <w:t>Check 2: Header size bounds.</w:t>
      </w:r>
      <w:r>
        <w:rPr>
          <w:rFonts w:ascii="Times New Roman" w:hAnsi="Times New Roman"/>
          <w:b w:val="0"/>
          <w:i w:val="0"/>
          <w:sz w:val="20"/>
        </w:rPr>
        <w:t xml:space="preserve"> The declared header size is validated against a configurable ceiling (100 MB by default) and a warning threshold (10 MB).</w:t>
      </w:r>
    </w:p>
    <w:p>
      <w:pPr>
        <w:spacing w:before="60" w:after="80"/>
        <w:jc w:val="both"/>
      </w:pPr>
      <w:r>
        <w:rPr>
          <w:rFonts w:ascii="Times New Roman" w:hAnsi="Times New Roman"/>
          <w:b/>
          <w:i w:val="0"/>
          <w:sz w:val="20"/>
        </w:rPr>
        <w:t>Check 3: UTF-8 validity.</w:t>
      </w:r>
      <w:r>
        <w:rPr>
          <w:rFonts w:ascii="Times New Roman" w:hAnsi="Times New Roman"/>
          <w:b w:val="0"/>
          <w:i w:val="0"/>
          <w:sz w:val="20"/>
        </w:rPr>
        <w:t xml:space="preserve"> Header bytes must decode as valid UTF-8 before JSON parsing is attempted.</w:t>
      </w:r>
    </w:p>
    <w:p>
      <w:pPr>
        <w:spacing w:before="60" w:after="80"/>
        <w:jc w:val="both"/>
      </w:pPr>
      <w:r>
        <w:rPr>
          <w:rFonts w:ascii="Times New Roman" w:hAnsi="Times New Roman"/>
          <w:b/>
          <w:i w:val="0"/>
          <w:sz w:val="20"/>
        </w:rPr>
        <w:t>Check 4: JSON validity.</w:t>
      </w:r>
      <w:r>
        <w:rPr>
          <w:rFonts w:ascii="Times New Roman" w:hAnsi="Times New Roman"/>
          <w:b w:val="0"/>
          <w:i w:val="0"/>
          <w:sz w:val="20"/>
        </w:rPr>
        <w:t xml:space="preserve"> The decoded header string must parse as valid JSON.</w:t>
      </w:r>
    </w:p>
    <w:p>
      <w:pPr>
        <w:spacing w:before="60" w:after="80"/>
        <w:jc w:val="both"/>
      </w:pPr>
      <w:r>
        <w:rPr>
          <w:rFonts w:ascii="Times New Roman" w:hAnsi="Times New Roman"/>
          <w:b/>
          <w:i w:val="0"/>
          <w:sz w:val="20"/>
        </w:rPr>
        <w:t>Checks 5-6: Tensor entry validation.</w:t>
      </w:r>
      <w:r>
        <w:rPr>
          <w:rFonts w:ascii="Times New Roman" w:hAnsi="Times New Roman"/>
          <w:b w:val="0"/>
          <w:i w:val="0"/>
          <w:sz w:val="20"/>
        </w:rPr>
        <w:t xml:space="preserve"> Each tensor entry must contain a valid dtype, a well-formed shape field, and valid data_offsets.</w:t>
      </w:r>
    </w:p>
    <w:p>
      <w:pPr>
        <w:spacing w:before="60" w:after="80"/>
        <w:jc w:val="both"/>
      </w:pPr>
      <w:r>
        <w:rPr>
          <w:rFonts w:ascii="Times New Roman" w:hAnsi="Times New Roman"/>
          <w:b/>
          <w:i w:val="0"/>
          <w:sz w:val="20"/>
        </w:rPr>
        <w:t>Check 7: Data offset bounds.</w:t>
      </w:r>
      <w:r>
        <w:rPr>
          <w:rFonts w:ascii="Times New Roman" w:hAnsi="Times New Roman"/>
          <w:b w:val="0"/>
          <w:i w:val="0"/>
          <w:sz w:val="20"/>
        </w:rPr>
        <w:t xml:space="preserve"> The maximum data offset declared across all tensor entries must not exceed the actual file size.</w:t>
      </w:r>
    </w:p>
    <w:p>
      <w:pPr>
        <w:keepNext/>
        <w:spacing w:before="120" w:after="80"/>
      </w:pPr>
      <w:r>
        <w:rPr>
          <w:rFonts w:ascii="Times New Roman" w:hAnsi="Times New Roman"/>
          <w:b/>
          <w:sz w:val="20"/>
        </w:rPr>
        <w:t>5.2  GGUF Inspector</w:t>
      </w:r>
    </w:p>
    <w:p>
      <w:pPr>
        <w:spacing w:before="0" w:after="80"/>
        <w:jc w:val="both"/>
      </w:pPr>
      <w:r>
        <w:rPr>
          <w:rFonts w:ascii="Times New Roman" w:hAnsi="Times New Roman"/>
          <w:i w:val="0"/>
          <w:sz w:val="20"/>
        </w:rPr>
        <w:t>The inspect_gguf() function validates the binary header and audits metadata key names without parsing metadata values. The function first checks that the file begins with the four magic bytes GGUF (ASCII). It then reads the version field, flagging versions outside the set {2, 3} as anomalous. It reads the declared tensor count and key-value count, flagging the latter if it exceeds 10,000. For each metadata key, the function reads the key length as a little-endian 64-bit integer, rejects keys longer than 1,024 bytes, validates UTF-8 encoding, and checks whether the key name begins with one of 28 known architecture-specific prefixes defined in the GGUF v3 specification.</w:t>
      </w:r>
    </w:p>
    <w:p>
      <w:pPr>
        <w:keepNext/>
        <w:spacing w:before="120" w:after="80"/>
      </w:pPr>
      <w:r>
        <w:rPr>
          <w:rFonts w:ascii="Times New Roman" w:hAnsi="Times New Roman"/>
          <w:b/>
          <w:sz w:val="20"/>
        </w:rPr>
        <w:t>5.3  Cross-Platform Correctness</w:t>
      </w:r>
    </w:p>
    <w:p>
      <w:pPr>
        <w:spacing w:before="0" w:after="80"/>
        <w:jc w:val="both"/>
      </w:pPr>
      <w:r>
        <w:rPr>
          <w:rFonts w:ascii="Times New Roman" w:hAnsi="Times New Roman"/>
          <w:i w:val="0"/>
          <w:sz w:val="20"/>
        </w:rPr>
        <w:t>The initial implementation hardcoded /tmp as the report output directory and used datetime.utcnow(), which was deprecated in Python 3.12. We corrected the report path to use tempfile.gettempdir(), which resolves correctly on Windows, Linux, and macOS, and replaced the deprecated call with datetime.now(datetime.timezone.utc).</w:t>
      </w:r>
    </w:p>
    <w:p>
      <w:pPr>
        <w:keepNext/>
        <w:spacing w:before="120" w:after="80"/>
      </w:pPr>
      <w:r>
        <w:rPr>
          <w:rFonts w:ascii="Times New Roman" w:hAnsi="Times New Roman"/>
          <w:b/>
          <w:sz w:val="20"/>
        </w:rPr>
        <w:t>5.4  Hash Verification and Registry Lookup</w:t>
      </w:r>
    </w:p>
    <w:p>
      <w:pPr>
        <w:spacing w:before="0" w:after="80"/>
        <w:jc w:val="both"/>
      </w:pPr>
      <w:r>
        <w:rPr>
          <w:rFonts w:ascii="Times New Roman" w:hAnsi="Times New Roman"/>
          <w:i w:val="0"/>
          <w:sz w:val="20"/>
        </w:rPr>
        <w:t>The verify_against_registry() function computes the SHA-256 digest of the artifact in 1 MB chunks to accommodate files that routinely exceed 4 GB, then queries the trusted registry for a matching entry by filename. If no entry is found, the function returns a permissive result with a warning, leaving the hard failure to the GitHub Actions pipeline step.</w:t>
      </w:r>
    </w:p>
    <w:p>
      <w:pPr>
        <w:keepNext/>
        <w:spacing w:before="240" w:after="80"/>
      </w:pPr>
      <w:r>
        <w:rPr>
          <w:rFonts w:ascii="Times New Roman" w:hAnsi="Times New Roman"/>
          <w:b/>
          <w:sz w:val="22"/>
        </w:rPr>
        <w:t>6  EVALUATION</w:t>
      </w:r>
    </w:p>
    <w:p>
      <w:pPr>
        <w:keepNext/>
        <w:spacing w:before="120" w:after="80"/>
      </w:pPr>
      <w:r>
        <w:rPr>
          <w:rFonts w:ascii="Times New Roman" w:hAnsi="Times New Roman"/>
          <w:b/>
          <w:sz w:val="20"/>
        </w:rPr>
        <w:t>6.1  Test Methodology</w:t>
      </w:r>
    </w:p>
    <w:p>
      <w:pPr>
        <w:spacing w:before="0" w:after="80"/>
        <w:jc w:val="both"/>
      </w:pPr>
      <w:r>
        <w:rPr>
          <w:rFonts w:ascii="Times New Roman" w:hAnsi="Times New Roman"/>
          <w:i w:val="0"/>
          <w:sz w:val="20"/>
        </w:rPr>
        <w:t>We constructed eight synthetic test cases covering the Safetensors and GGUF formats. Each test case programmatically constructs a binary artifact that embodies a specific structural condition and invokes the inspector with the --skip-hash flag to isolate binary inspection controls from the registry hash check. The expected exit code (0 for pass, 1 for failure) is compared against the actual exit code to determine test outcome.</w:t>
      </w:r>
    </w:p>
    <w:p>
      <w:pPr>
        <w:keepNext/>
        <w:spacing w:before="120" w:after="80"/>
      </w:pPr>
      <w:r>
        <w:rPr>
          <w:rFonts w:ascii="Times New Roman" w:hAnsi="Times New Roman"/>
          <w:b/>
          <w:sz w:val="20"/>
        </w:rPr>
        <w:t>6.2  Results</w:t>
      </w:r>
    </w:p>
    <w:p>
      <w:pPr>
        <w:spacing w:before="0" w:after="80"/>
        <w:jc w:val="both"/>
      </w:pPr>
      <w:r>
        <w:rPr>
          <w:rFonts w:ascii="Times New Roman" w:hAnsi="Times New Roman"/>
          <w:i w:val="0"/>
          <w:sz w:val="20"/>
        </w:rPr>
        <w:t>Table 2 summarizes the outcomes across all eight test cases.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color="auto" w:fill="D9D9D9"/>
          </w:tcPr>
          <w:p>
            <w:pPr>
              <w:spacing w:before="40" w:after="40"/>
            </w:pPr>
            <w:r>
              <w:rPr>
                <w:rFonts w:ascii="Times New Roman" w:hAnsi="Times New Roman"/>
                <w:b/>
                <w:sz w:val="18"/>
              </w:rPr>
              <w:t>Test Case</w:t>
            </w:r>
          </w:p>
        </w:tc>
        <w:tc>
          <w:tcPr>
            <w:tcW w:type="dxa" w:w="3360"/>
            <w:shd w:val="clear" w:color="auto" w:fill="D9D9D9"/>
          </w:tcPr>
          <w:p>
            <w:pPr>
              <w:spacing w:before="40" w:after="40"/>
            </w:pPr>
            <w:r>
              <w:rPr>
                <w:rFonts w:ascii="Times New Roman" w:hAnsi="Times New Roman"/>
                <w:b/>
                <w:sz w:val="18"/>
              </w:rPr>
              <w:t>Expected</w:t>
            </w:r>
          </w:p>
        </w:tc>
        <w:tc>
          <w:tcPr>
            <w:tcW w:type="dxa" w:w="3360"/>
            <w:shd w:val="clear" w:color="auto" w:fill="D9D9D9"/>
          </w:tcPr>
          <w:p>
            <w:pPr>
              <w:spacing w:before="40" w:after="40"/>
            </w:pPr>
            <w:r>
              <w:rPr>
                <w:rFonts w:ascii="Times New Roman" w:hAnsi="Times New Roman"/>
                <w:b/>
                <w:sz w:val="18"/>
              </w:rPr>
              <w:t>Result</w:t>
            </w:r>
          </w:p>
        </w:tc>
      </w:tr>
      <w:tr>
        <w:tc>
          <w:tcPr>
            <w:tcW w:type="dxa" w:w="3360"/>
          </w:tcPr>
          <w:p>
            <w:pPr>
              <w:spacing w:before="40" w:after="40"/>
            </w:pPr>
            <w:r>
              <w:rPr>
                <w:rFonts w:ascii="Times New Roman" w:hAnsi="Times New Roman"/>
                <w:sz w:val="18"/>
              </w:rPr>
              <w:t>Safetensors: valid file (F32, correct offsets)</w:t>
            </w:r>
          </w:p>
        </w:tc>
        <w:tc>
          <w:tcPr>
            <w:tcW w:type="dxa" w:w="3360"/>
          </w:tcPr>
          <w:p>
            <w:pPr>
              <w:spacing w:before="40" w:after="40"/>
            </w:pPr>
            <w:r>
              <w:rPr>
                <w:rFonts w:ascii="Times New Roman" w:hAnsi="Times New Roman"/>
                <w:sz w:val="18"/>
              </w:rPr>
              <w:t>PASS</w:t>
            </w:r>
          </w:p>
        </w:tc>
        <w:tc>
          <w:tcPr>
            <w:tcW w:type="dxa" w:w="3360"/>
          </w:tcPr>
          <w:p>
            <w:pPr>
              <w:spacing w:before="40" w:after="40"/>
            </w:pPr>
            <w:r>
              <w:rPr>
                <w:rFonts w:ascii="Times New Roman" w:hAnsi="Times New Roman"/>
                <w:sz w:val="18"/>
              </w:rPr>
              <w:t>PASS</w:t>
            </w:r>
          </w:p>
        </w:tc>
      </w:tr>
      <w:tr>
        <w:tc>
          <w:tcPr>
            <w:tcW w:type="dxa" w:w="3360"/>
          </w:tcPr>
          <w:p>
            <w:pPr>
              <w:spacing w:before="40" w:after="40"/>
            </w:pPr>
            <w:r>
              <w:rPr>
                <w:rFonts w:ascii="Times New Roman" w:hAnsi="Times New Roman"/>
                <w:sz w:val="18"/>
              </w:rPr>
              <w:t>Safetensors: invalid dtype (EVIL_TYPE)</w:t>
            </w:r>
          </w:p>
        </w:tc>
        <w:tc>
          <w:tcPr>
            <w:tcW w:type="dxa" w:w="3360"/>
          </w:tcPr>
          <w:p>
            <w:pPr>
              <w:spacing w:before="40" w:after="40"/>
            </w:pPr>
            <w:r>
              <w:rPr>
                <w:rFonts w:ascii="Times New Roman" w:hAnsi="Times New Roman"/>
                <w:sz w:val="18"/>
              </w:rPr>
              <w:t>FAIL</w:t>
            </w:r>
          </w:p>
        </w:tc>
        <w:tc>
          <w:tcPr>
            <w:tcW w:type="dxa" w:w="3360"/>
          </w:tcPr>
          <w:p>
            <w:pPr>
              <w:spacing w:before="40" w:after="40"/>
            </w:pPr>
            <w:r>
              <w:rPr>
                <w:rFonts w:ascii="Times New Roman" w:hAnsi="Times New Roman"/>
                <w:sz w:val="18"/>
              </w:rPr>
              <w:t>FAIL</w:t>
            </w:r>
          </w:p>
        </w:tc>
      </w:tr>
      <w:tr>
        <w:tc>
          <w:tcPr>
            <w:tcW w:type="dxa" w:w="3360"/>
          </w:tcPr>
          <w:p>
            <w:pPr>
              <w:spacing w:before="40" w:after="40"/>
            </w:pPr>
            <w:r>
              <w:rPr>
                <w:rFonts w:ascii="Times New Roman" w:hAnsi="Times New Roman"/>
                <w:sz w:val="18"/>
              </w:rPr>
              <w:t>Safetensors: data offset past EOF</w:t>
            </w:r>
          </w:p>
        </w:tc>
        <w:tc>
          <w:tcPr>
            <w:tcW w:type="dxa" w:w="3360"/>
          </w:tcPr>
          <w:p>
            <w:pPr>
              <w:spacing w:before="40" w:after="40"/>
            </w:pPr>
            <w:r>
              <w:rPr>
                <w:rFonts w:ascii="Times New Roman" w:hAnsi="Times New Roman"/>
                <w:sz w:val="18"/>
              </w:rPr>
              <w:t>FAIL</w:t>
            </w:r>
          </w:p>
        </w:tc>
        <w:tc>
          <w:tcPr>
            <w:tcW w:type="dxa" w:w="3360"/>
          </w:tcPr>
          <w:p>
            <w:pPr>
              <w:spacing w:before="40" w:after="40"/>
            </w:pPr>
            <w:r>
              <w:rPr>
                <w:rFonts w:ascii="Times New Roman" w:hAnsi="Times New Roman"/>
                <w:sz w:val="18"/>
              </w:rPr>
              <w:t>FAIL</w:t>
            </w:r>
          </w:p>
        </w:tc>
      </w:tr>
      <w:tr>
        <w:tc>
          <w:tcPr>
            <w:tcW w:type="dxa" w:w="3360"/>
          </w:tcPr>
          <w:p>
            <w:pPr>
              <w:spacing w:before="40" w:after="40"/>
            </w:pPr>
            <w:r>
              <w:rPr>
                <w:rFonts w:ascii="Times New Roman" w:hAnsi="Times New Roman"/>
                <w:sz w:val="18"/>
              </w:rPr>
              <w:t>Safetensors: non-JSON header bytes</w:t>
            </w:r>
          </w:p>
        </w:tc>
        <w:tc>
          <w:tcPr>
            <w:tcW w:type="dxa" w:w="3360"/>
          </w:tcPr>
          <w:p>
            <w:pPr>
              <w:spacing w:before="40" w:after="40"/>
            </w:pPr>
            <w:r>
              <w:rPr>
                <w:rFonts w:ascii="Times New Roman" w:hAnsi="Times New Roman"/>
                <w:sz w:val="18"/>
              </w:rPr>
              <w:t>FAIL</w:t>
            </w:r>
          </w:p>
        </w:tc>
        <w:tc>
          <w:tcPr>
            <w:tcW w:type="dxa" w:w="3360"/>
          </w:tcPr>
          <w:p>
            <w:pPr>
              <w:spacing w:before="40" w:after="40"/>
            </w:pPr>
            <w:r>
              <w:rPr>
                <w:rFonts w:ascii="Times New Roman" w:hAnsi="Times New Roman"/>
                <w:sz w:val="18"/>
              </w:rPr>
              <w:t>FAIL</w:t>
            </w:r>
          </w:p>
        </w:tc>
      </w:tr>
      <w:tr>
        <w:tc>
          <w:tcPr>
            <w:tcW w:type="dxa" w:w="3360"/>
          </w:tcPr>
          <w:p>
            <w:pPr>
              <w:spacing w:before="40" w:after="40"/>
            </w:pPr>
            <w:r>
              <w:rPr>
                <w:rFonts w:ascii="Times New Roman" w:hAnsi="Times New Roman"/>
                <w:sz w:val="18"/>
              </w:rPr>
              <w:t>GGUF: valid file, zero KV entries</w:t>
            </w:r>
          </w:p>
        </w:tc>
        <w:tc>
          <w:tcPr>
            <w:tcW w:type="dxa" w:w="3360"/>
          </w:tcPr>
          <w:p>
            <w:pPr>
              <w:spacing w:before="40" w:after="40"/>
            </w:pPr>
            <w:r>
              <w:rPr>
                <w:rFonts w:ascii="Times New Roman" w:hAnsi="Times New Roman"/>
                <w:sz w:val="18"/>
              </w:rPr>
              <w:t>PASS</w:t>
            </w:r>
          </w:p>
        </w:tc>
        <w:tc>
          <w:tcPr>
            <w:tcW w:type="dxa" w:w="3360"/>
          </w:tcPr>
          <w:p>
            <w:pPr>
              <w:spacing w:before="40" w:after="40"/>
            </w:pPr>
            <w:r>
              <w:rPr>
                <w:rFonts w:ascii="Times New Roman" w:hAnsi="Times New Roman"/>
                <w:sz w:val="18"/>
              </w:rPr>
              <w:t>PASS</w:t>
            </w:r>
          </w:p>
        </w:tc>
      </w:tr>
      <w:tr>
        <w:tc>
          <w:tcPr>
            <w:tcW w:type="dxa" w:w="3360"/>
          </w:tcPr>
          <w:p>
            <w:pPr>
              <w:spacing w:before="40" w:after="40"/>
            </w:pPr>
            <w:r>
              <w:rPr>
                <w:rFonts w:ascii="Times New Roman" w:hAnsi="Times New Roman"/>
                <w:sz w:val="18"/>
              </w:rPr>
              <w:t>GGUF: valid general.architecture key</w:t>
            </w:r>
          </w:p>
        </w:tc>
        <w:tc>
          <w:tcPr>
            <w:tcW w:type="dxa" w:w="3360"/>
          </w:tcPr>
          <w:p>
            <w:pPr>
              <w:spacing w:before="40" w:after="40"/>
            </w:pPr>
            <w:r>
              <w:rPr>
                <w:rFonts w:ascii="Times New Roman" w:hAnsi="Times New Roman"/>
                <w:sz w:val="18"/>
              </w:rPr>
              <w:t>PASS</w:t>
            </w:r>
          </w:p>
        </w:tc>
        <w:tc>
          <w:tcPr>
            <w:tcW w:type="dxa" w:w="3360"/>
          </w:tcPr>
          <w:p>
            <w:pPr>
              <w:spacing w:before="40" w:after="40"/>
            </w:pPr>
            <w:r>
              <w:rPr>
                <w:rFonts w:ascii="Times New Roman" w:hAnsi="Times New Roman"/>
                <w:sz w:val="18"/>
              </w:rPr>
              <w:t>PASS</w:t>
            </w:r>
          </w:p>
        </w:tc>
      </w:tr>
      <w:tr>
        <w:tc>
          <w:tcPr>
            <w:tcW w:type="dxa" w:w="3360"/>
          </w:tcPr>
          <w:p>
            <w:pPr>
              <w:spacing w:before="40" w:after="40"/>
            </w:pPr>
            <w:r>
              <w:rPr>
                <w:rFonts w:ascii="Times New Roman" w:hAnsi="Times New Roman"/>
                <w:sz w:val="18"/>
              </w:rPr>
              <w:t>GGUF: wrong magic bytes (EVIL)</w:t>
            </w:r>
          </w:p>
        </w:tc>
        <w:tc>
          <w:tcPr>
            <w:tcW w:type="dxa" w:w="3360"/>
          </w:tcPr>
          <w:p>
            <w:pPr>
              <w:spacing w:before="40" w:after="40"/>
            </w:pPr>
            <w:r>
              <w:rPr>
                <w:rFonts w:ascii="Times New Roman" w:hAnsi="Times New Roman"/>
                <w:sz w:val="18"/>
              </w:rPr>
              <w:t>FAIL</w:t>
            </w:r>
          </w:p>
        </w:tc>
        <w:tc>
          <w:tcPr>
            <w:tcW w:type="dxa" w:w="3360"/>
          </w:tcPr>
          <w:p>
            <w:pPr>
              <w:spacing w:before="40" w:after="40"/>
            </w:pPr>
            <w:r>
              <w:rPr>
                <w:rFonts w:ascii="Times New Roman" w:hAnsi="Times New Roman"/>
                <w:sz w:val="18"/>
              </w:rPr>
              <w:t>FAIL</w:t>
            </w:r>
          </w:p>
        </w:tc>
      </w:tr>
      <w:tr>
        <w:tc>
          <w:tcPr>
            <w:tcW w:type="dxa" w:w="3360"/>
          </w:tcPr>
          <w:p>
            <w:pPr>
              <w:spacing w:before="40" w:after="40"/>
            </w:pPr>
            <w:r>
              <w:rPr>
                <w:rFonts w:ascii="Times New Roman" w:hAnsi="Times New Roman"/>
                <w:sz w:val="18"/>
              </w:rPr>
              <w:t>GGUF: unsupported version (v99), non-strict mode</w:t>
            </w:r>
          </w:p>
        </w:tc>
        <w:tc>
          <w:tcPr>
            <w:tcW w:type="dxa" w:w="3360"/>
          </w:tcPr>
          <w:p>
            <w:pPr>
              <w:spacing w:before="40" w:after="40"/>
            </w:pPr>
            <w:r>
              <w:rPr>
                <w:rFonts w:ascii="Times New Roman" w:hAnsi="Times New Roman"/>
                <w:sz w:val="18"/>
              </w:rPr>
              <w:t>PASS</w:t>
            </w:r>
          </w:p>
        </w:tc>
        <w:tc>
          <w:tcPr>
            <w:tcW w:type="dxa" w:w="3360"/>
          </w:tcPr>
          <w:p>
            <w:pPr>
              <w:spacing w:before="40" w:after="40"/>
            </w:pPr>
            <w:r>
              <w:rPr>
                <w:rFonts w:ascii="Times New Roman" w:hAnsi="Times New Roman"/>
                <w:sz w:val="18"/>
              </w:rPr>
              <w:t>PASS</w:t>
            </w:r>
          </w:p>
        </w:tc>
      </w:tr>
    </w:tbl>
    <w:p>
      <w:pPr>
        <w:spacing w:before="80"/>
      </w:pPr>
      <w:r>
        <w:rPr>
          <w:rFonts w:ascii="Times New Roman" w:hAnsi="Times New Roman"/>
          <w:i/>
          <w:sz w:val="18"/>
        </w:rPr>
        <w:t>Table 2: Binary inspector evaluation results.</w:t>
      </w:r>
    </w:p>
    <w:p>
      <w:pPr>
        <w:spacing w:before="80" w:after="80"/>
        <w:jc w:val="both"/>
      </w:pPr>
      <w:r>
        <w:rPr>
          <w:rFonts w:ascii="Times New Roman" w:hAnsi="Times New Roman"/>
          <w:i w:val="0"/>
          <w:sz w:val="20"/>
        </w:rPr>
        <w:t>All eight test cases produced the expected outcome, yielding a false negative rate of 0.0% and a false positive rate of 0.0% under the tested conditions. The unsupported GGUF version case correctly produces a warning annotation in the inspection report while allowing the artifact through, consistent with the design intent.</w:t>
      </w:r>
    </w:p>
    <w:p>
      <w:pPr>
        <w:keepNext/>
        <w:spacing w:before="120" w:after="80"/>
      </w:pPr>
      <w:r>
        <w:rPr>
          <w:rFonts w:ascii="Times New Roman" w:hAnsi="Times New Roman"/>
          <w:b/>
          <w:sz w:val="20"/>
        </w:rPr>
        <w:t>6.3  Performance Characteristics</w:t>
      </w:r>
    </w:p>
    <w:p>
      <w:pPr>
        <w:spacing w:before="0" w:after="80"/>
        <w:jc w:val="both"/>
      </w:pPr>
      <w:r>
        <w:rPr>
          <w:rFonts w:ascii="Times New Roman" w:hAnsi="Times New Roman"/>
          <w:i w:val="0"/>
          <w:sz w:val="20"/>
        </w:rPr>
        <w:t>Binary inspection latency is bounded by file read bandwidth rather than computation. The Safetensors inspector reads only the header region, so inspection time for a 7 GB model file is dominated by the time to seek to and read the header, typically under two seconds on standard SSD storage. The GGUF inspector reads the fixed-length header and the first metadata key, a region always well under 1 KB, making its latency effectively constant regardless of file size. Hash computation scales linearly with file size; at 1 MB chunk reads on modern storage, a 7 GB file completes in approximately 14 seconds.</w:t>
      </w:r>
    </w:p>
    <w:p>
      <w:pPr>
        <w:keepNext/>
        <w:spacing w:before="240" w:after="80"/>
      </w:pPr>
      <w:r>
        <w:rPr>
          <w:rFonts w:ascii="Times New Roman" w:hAnsi="Times New Roman"/>
          <w:b/>
          <w:sz w:val="22"/>
        </w:rPr>
        <w:t>7  DISCUSSION</w:t>
      </w:r>
    </w:p>
    <w:p>
      <w:pPr>
        <w:keepNext/>
        <w:spacing w:before="120" w:after="80"/>
      </w:pPr>
      <w:r>
        <w:rPr>
          <w:rFonts w:ascii="Times New Roman" w:hAnsi="Times New Roman"/>
          <w:b/>
          <w:sz w:val="20"/>
        </w:rPr>
        <w:t>7.1  Limitations</w:t>
      </w:r>
    </w:p>
    <w:p>
      <w:pPr>
        <w:spacing w:before="0" w:after="80"/>
        <w:jc w:val="both"/>
      </w:pPr>
      <w:r>
        <w:rPr>
          <w:rFonts w:ascii="Times New Roman" w:hAnsi="Times New Roman"/>
          <w:i w:val="0"/>
          <w:sz w:val="20"/>
        </w:rPr>
        <w:t>The most consequential limitation of the framework is its inability to detect neural backdoors embedded in weight values. A Safetensors or GGUF file whose weights have been poisoned at training time passes all structural checks cleanly, loads without incident, and behaves correctly on all clean inputs. The malicious behavior surfaces only on inputs containing the attacker's trigger pattern [3]. Addressing this requires behavioral monitoring at inference time: continuous analysis of output distributions, activation statistics, and response latency. This is a complementary defense operating at the application layer and falls outside the scope of the present framework.</w:t>
      </w:r>
    </w:p>
    <w:p>
      <w:pPr>
        <w:spacing w:before="80" w:after="80"/>
        <w:jc w:val="both"/>
      </w:pPr>
      <w:r>
        <w:rPr>
          <w:rFonts w:ascii="Times New Roman" w:hAnsi="Times New Roman"/>
          <w:i w:val="0"/>
          <w:sz w:val="20"/>
        </w:rPr>
        <w:t>The GGUF inspector's metadata audit is currently limited to key name classification. Full value inspection requires a complete GGUF value-skip implementation. We recommend that teams requiring full metadata value inspection use gguf-py or llama.cpp's gguf-dump utility as a complement.</w:t>
      </w:r>
    </w:p>
    <w:p>
      <w:pPr>
        <w:keepNext/>
        <w:spacing w:before="120" w:after="80"/>
      </w:pPr>
      <w:r>
        <w:rPr>
          <w:rFonts w:ascii="Times New Roman" w:hAnsi="Times New Roman"/>
          <w:b/>
          <w:sz w:val="20"/>
        </w:rPr>
        <w:t>7.2  Scope and Integration</w:t>
      </w:r>
    </w:p>
    <w:p>
      <w:pPr>
        <w:spacing w:before="0" w:after="80"/>
        <w:jc w:val="both"/>
      </w:pPr>
      <w:r>
        <w:rPr>
          <w:rFonts w:ascii="Times New Roman" w:hAnsi="Times New Roman"/>
          <w:i w:val="0"/>
          <w:sz w:val="20"/>
        </w:rPr>
        <w:t>The framework is designed to sit at the model intake boundary: between the artifact download step and the step that registers the artifact in an internal model registry. Organizations should treat this framework as one layer in a defense-in-depth strategy aligned with the NIST AI RMF [13] and the OWASP LLM Top 10 [16].</w:t>
      </w:r>
    </w:p>
    <w:p>
      <w:pPr>
        <w:keepNext/>
        <w:spacing w:before="120" w:after="80"/>
      </w:pPr>
      <w:r>
        <w:rPr>
          <w:rFonts w:ascii="Times New Roman" w:hAnsi="Times New Roman"/>
          <w:b/>
          <w:sz w:val="20"/>
        </w:rPr>
        <w:t>7.3  Future Work</w:t>
      </w:r>
    </w:p>
    <w:p>
      <w:pPr>
        <w:spacing w:before="0" w:after="80"/>
        <w:jc w:val="both"/>
      </w:pPr>
      <w:r>
        <w:rPr>
          <w:rFonts w:ascii="Times New Roman" w:hAnsi="Times New Roman"/>
          <w:i w:val="0"/>
          <w:sz w:val="20"/>
        </w:rPr>
        <w:t>Four extensions represent near-term priorities: (1) extending the binary inspector to cover ONNX protobuf models and TensorFlow SavedModel artifacts; (2) integrating AI Software Bill of Materials (AI-SBOM) generation into the provenance gate output [12, 13]; (3) implementing complete GGUF metadata value parsing to enable schema-level validation; (4) investigating integration with inference-time behavioral monitoring to close the neural backdoor detection gap.</w:t>
      </w:r>
    </w:p>
    <w:p>
      <w:pPr>
        <w:keepNext/>
        <w:spacing w:before="240" w:after="80"/>
      </w:pPr>
      <w:r>
        <w:rPr>
          <w:rFonts w:ascii="Times New Roman" w:hAnsi="Times New Roman"/>
          <w:b/>
          <w:sz w:val="22"/>
        </w:rPr>
        <w:t>8  CONCLUSION</w:t>
      </w:r>
    </w:p>
    <w:p>
      <w:pPr>
        <w:spacing w:before="0" w:after="80"/>
        <w:jc w:val="both"/>
      </w:pPr>
      <w:r>
        <w:rPr>
          <w:rFonts w:ascii="Times New Roman" w:hAnsi="Times New Roman"/>
          <w:i w:val="0"/>
          <w:sz w:val="20"/>
        </w:rPr>
        <w:t>The machine learning supply chain is not merely a software supply chain. It is a binary supply chain in which the most sensitive components---weight files that encode model behavior---are distributed through infrastructure that provides no cryptographic integrity guarantees by default and consumed by tooling that offers no structural inspection prior to loading. This gap is neither obscure nor theoretical; it has been exploited in documented incidents and characterized in peer-reviewed vulnerability research across all three dominant weight file formats.</w:t>
      </w:r>
    </w:p>
    <w:p>
      <w:pPr>
        <w:spacing w:before="80" w:after="80"/>
        <w:jc w:val="both"/>
      </w:pPr>
      <w:r>
        <w:rPr>
          <w:rFonts w:ascii="Times New Roman" w:hAnsi="Times New Roman"/>
          <w:i w:val="0"/>
          <w:sz w:val="20"/>
        </w:rPr>
        <w:t>We have presented model-provenance-guard, a framework that addresses this gap with a combination of binary-level inspection and cryptographic provenance enforcement, deployed at the CI/CD boundary where prevention remains possible. Against eight synthetic adversarial test cases spanning the Safetensors and GGUF attack surfaces, the inspector returned zero false negatives and zero false positives.</w:t>
      </w:r>
    </w:p>
    <w:p>
      <w:pPr>
        <w:spacing w:before="80" w:after="80"/>
        <w:jc w:val="both"/>
      </w:pPr>
      <w:r>
        <w:rPr>
          <w:rFonts w:ascii="Times New Roman" w:hAnsi="Times New Roman"/>
          <w:i w:val="0"/>
          <w:sz w:val="20"/>
        </w:rPr>
        <w:t>The underlying principle is not novel: build the gate, not more alerts. Monitoring a threat class that cannot be observed through existing instrumentation generates no signal. The response to weaponized weights is structural, and it must be implemented before the next artifact a team stages for production introduces a threat that no existing tool was designed to see.</w:t>
      </w:r>
    </w:p>
    <w:p>
      <w:pPr>
        <w:keepNext/>
        <w:spacing w:before="240" w:after="80"/>
      </w:pPr>
      <w:r>
        <w:rPr>
          <w:rFonts w:ascii="Times New Roman" w:hAnsi="Times New Roman"/>
          <w:b/>
          <w:sz w:val="20"/>
        </w:rPr>
        <w:t>ACKNOWLEDGMENTS</w:t>
      </w:r>
    </w:p>
    <w:p>
      <w:pPr>
        <w:spacing w:before="0" w:after="80"/>
        <w:jc w:val="both"/>
      </w:pPr>
      <w:r>
        <w:rPr>
          <w:rFonts w:ascii="Times New Roman" w:hAnsi="Times New Roman"/>
          <w:i w:val="0"/>
          <w:sz w:val="20"/>
        </w:rPr>
        <w:t>The authors thank the security research community for disclosing the llama.cpp heap-buffer-overflow vulnerabilities (Cisco Talos, 2024) and the Trail of Bits team for the Safetensors library security assessment (2023), both of which directly informed the threat model developed in this work. The model-provenance-guard toolkit is released under the MIT License and is available at https://github.com/sunilgentyala/model-provenance-guard.</w:t>
      </w:r>
    </w:p>
    <w:p>
      <w:pPr>
        <w:keepNext/>
        <w:spacing w:before="240" w:after="80"/>
      </w:pPr>
      <w:r>
        <w:rPr>
          <w:rFonts w:ascii="Times New Roman" w:hAnsi="Times New Roman"/>
          <w:b/>
          <w:sz w:val="20"/>
        </w:rPr>
        <w:t>REFERENCES</w:t>
      </w:r>
    </w:p>
    <w:p>
      <w:pPr>
        <w:spacing w:before="40" w:after="40"/>
        <w:ind w:left="360" w:hanging="360"/>
      </w:pPr>
      <w:r>
        <w:rPr>
          <w:rFonts w:ascii="Times New Roman" w:hAnsi="Times New Roman"/>
          <w:sz w:val="18"/>
        </w:rPr>
        <w:t>[1] Mudusu, S. K. and Gentyala, S. 2026. Zero-Trust Data Pipelines for AI Systems. Journal of Recent Trends in Computer Science and Engineering, 14(2), 10-25. DOI: 10.70589/JRTCSE.2026.14.2.2</w:t>
      </w:r>
    </w:p>
    <w:p>
      <w:pPr>
        <w:spacing w:before="40" w:after="40"/>
        <w:ind w:left="360" w:hanging="360"/>
      </w:pPr>
      <w:r>
        <w:rPr>
          <w:rFonts w:ascii="Times New Roman" w:hAnsi="Times New Roman"/>
          <w:sz w:val="18"/>
        </w:rPr>
        <w:t>[2] Koishybayev, I. et al. 2025. PickleBall: Secure Deserialization of Pickle-based Machine Learning Models. In Proc. ACM CCS '25. DOI: 10.1145/3719027.3765037</w:t>
      </w:r>
    </w:p>
    <w:p>
      <w:pPr>
        <w:spacing w:before="40" w:after="40"/>
        <w:ind w:left="360" w:hanging="360"/>
      </w:pPr>
      <w:r>
        <w:rPr>
          <w:rFonts w:ascii="Times New Roman" w:hAnsi="Times New Roman"/>
          <w:sz w:val="18"/>
        </w:rPr>
        <w:t>[3] Gu, T., Dolan-Gavitt, B., and Garg, S. 2019. BadNets: Evaluating Backdooring Attacks on Deep Neural Networks. IEEE Access, 7, 47230-47244. DOI: 10.1109/ACCESS.2019.2909068</w:t>
      </w:r>
    </w:p>
    <w:p>
      <w:pPr>
        <w:spacing w:before="40" w:after="40"/>
        <w:ind w:left="360" w:hanging="360"/>
      </w:pPr>
      <w:r>
        <w:rPr>
          <w:rFonts w:ascii="Times New Roman" w:hAnsi="Times New Roman"/>
          <w:sz w:val="18"/>
        </w:rPr>
        <w:t>[4] Jiang, J. et al. 2024. Models Are Codes: Towards Measuring Malicious Code Poisoning Attacks on Pre-trained Model Hubs. In Proc. ASE '24. DOI: 10.1145/3691620.3695271</w:t>
      </w:r>
    </w:p>
    <w:p>
      <w:pPr>
        <w:spacing w:before="40" w:after="40"/>
        <w:ind w:left="360" w:hanging="360"/>
      </w:pPr>
      <w:r>
        <w:rPr>
          <w:rFonts w:ascii="Times New Roman" w:hAnsi="Times New Roman"/>
          <w:sz w:val="18"/>
        </w:rPr>
        <w:t>[5] Communications of the ACM Staff. 2025. Malicious AI Models Undermine Software Supply-Chain Security. Commun. ACM. DOI: 10.1145/3704724</w:t>
      </w:r>
    </w:p>
    <w:p>
      <w:pPr>
        <w:spacing w:before="40" w:after="40"/>
        <w:ind w:left="360" w:hanging="360"/>
      </w:pPr>
      <w:r>
        <w:rPr>
          <w:rFonts w:ascii="Times New Roman" w:hAnsi="Times New Roman"/>
          <w:sz w:val="18"/>
        </w:rPr>
        <w:t>[6] Newman, Z., Meyers, J. S., and Torres-Arias, S. 2022. Sigstore: Software Signing for Everybody. In Proc. ACM CCS '22, 2353-2367. DOI: 10.1145/3548606.3560596</w:t>
      </w:r>
    </w:p>
    <w:p>
      <w:pPr>
        <w:spacing w:before="40" w:after="40"/>
        <w:ind w:left="360" w:hanging="360"/>
      </w:pPr>
      <w:r>
        <w:rPr>
          <w:rFonts w:ascii="Times New Roman" w:hAnsi="Times New Roman"/>
          <w:sz w:val="18"/>
        </w:rPr>
        <w:t>[7] Schlegel, M. and Sattler, K.-U. 2024. Capturing End-to-End Provenance for Machine Learning Pipelines. Information Systems, 132, 102495. DOI: 10.1016/j.is.2024.102495</w:t>
      </w:r>
    </w:p>
    <w:p>
      <w:pPr>
        <w:spacing w:before="40" w:after="40"/>
        <w:ind w:left="360" w:hanging="360"/>
      </w:pPr>
      <w:r>
        <w:rPr>
          <w:rFonts w:ascii="Times New Roman" w:hAnsi="Times New Roman"/>
          <w:sz w:val="18"/>
        </w:rPr>
        <w:t>[8] Dey, S. et al. 2025. An Empirical Study of Safetensors' Usage Trends and Developers' Perceptions. arXiv:2501.02170.</w:t>
      </w:r>
    </w:p>
    <w:p>
      <w:pPr>
        <w:spacing w:before="40" w:after="40"/>
        <w:ind w:left="360" w:hanging="360"/>
      </w:pPr>
      <w:r>
        <w:rPr>
          <w:rFonts w:ascii="Times New Roman" w:hAnsi="Times New Roman"/>
          <w:sz w:val="18"/>
        </w:rPr>
        <w:t>[9] Jiang, W. et al. 2024. CryptoTensors: A Light-Weight LLM File Format for Highly-Secure Model Distribution. arXiv:2512.04580.</w:t>
      </w:r>
    </w:p>
    <w:p>
      <w:pPr>
        <w:spacing w:before="40" w:after="40"/>
        <w:ind w:left="360" w:hanging="360"/>
      </w:pPr>
      <w:r>
        <w:rPr>
          <w:rFonts w:ascii="Times New Roman" w:hAnsi="Times New Roman"/>
          <w:sz w:val="18"/>
        </w:rPr>
        <w:t>[10] Anonymous. 2024. Mind the Gap: A Practical Attack on GGUF Quantization. OpenReview.</w:t>
      </w:r>
    </w:p>
    <w:p>
      <w:pPr>
        <w:spacing w:before="40" w:after="40"/>
        <w:ind w:left="360" w:hanging="360"/>
      </w:pPr>
      <w:r>
        <w:rPr>
          <w:rFonts w:ascii="Times New Roman" w:hAnsi="Times New Roman"/>
          <w:sz w:val="18"/>
        </w:rPr>
        <w:t>[11] MITRE Corporation. 2023. MITRE ATLAS: Adversarial Threat Landscape for Artificial-Intelligence Systems. https://atlas.mitre.org</w:t>
      </w:r>
    </w:p>
    <w:p>
      <w:pPr>
        <w:spacing w:before="40" w:after="40"/>
        <w:ind w:left="360" w:hanging="360"/>
      </w:pPr>
      <w:r>
        <w:rPr>
          <w:rFonts w:ascii="Times New Roman" w:hAnsi="Times New Roman"/>
          <w:sz w:val="18"/>
        </w:rPr>
        <w:t>[12] Gentyala, S. 2026. Securing the AI Supply Chain: A Framework for AI SBOMs. Transactions on ML and AI, 14(1), 119-129. DOI: 10.14738/tmlai.1401.19884</w:t>
      </w:r>
    </w:p>
    <w:p>
      <w:pPr>
        <w:spacing w:before="40" w:after="40"/>
        <w:ind w:left="360" w:hanging="360"/>
      </w:pPr>
      <w:r>
        <w:rPr>
          <w:rFonts w:ascii="Times New Roman" w:hAnsi="Times New Roman"/>
          <w:sz w:val="18"/>
        </w:rPr>
        <w:t>[13] National Institute of Standards and Technology. 2023. AI Risk Management Framework (AI RMF 1.0). NIST AI 100-1. DOI: 10.6028/NIST.AI.100-1</w:t>
      </w:r>
    </w:p>
    <w:p>
      <w:pPr>
        <w:spacing w:before="40" w:after="40"/>
        <w:ind w:left="360" w:hanging="360"/>
      </w:pPr>
      <w:r>
        <w:rPr>
          <w:rFonts w:ascii="Times New Roman" w:hAnsi="Times New Roman"/>
          <w:sz w:val="18"/>
        </w:rPr>
        <w:t>[14] MITRE Corporation. 2023. MITRE ATLAS. https://atlas.mitre.org</w:t>
      </w:r>
    </w:p>
    <w:p>
      <w:pPr>
        <w:spacing w:before="40" w:after="40"/>
        <w:ind w:left="360" w:hanging="360"/>
      </w:pPr>
      <w:r>
        <w:rPr>
          <w:rFonts w:ascii="Times New Roman" w:hAnsi="Times New Roman"/>
          <w:sz w:val="18"/>
        </w:rPr>
        <w:t>[15] OpenSSF AI/ML Working Group. 2025. Launch of Model Signing v1.0. Open Source Security Foundation Blog.</w:t>
      </w:r>
    </w:p>
    <w:p>
      <w:pPr>
        <w:spacing w:before="40" w:after="40"/>
        <w:ind w:left="360" w:hanging="360"/>
      </w:pPr>
      <w:r>
        <w:rPr>
          <w:rFonts w:ascii="Times New Roman" w:hAnsi="Times New Roman"/>
          <w:sz w:val="18"/>
        </w:rPr>
        <w:t>[16] OWASP Gen AI Security Project. 2025. LLM03:2025 Supply Chain. OWASP GenAI Security Top 10.</w:t>
      </w:r>
    </w:p>
    <w:p>
      <w:pPr>
        <w:spacing w:before="40" w:after="40"/>
        <w:ind w:left="360" w:hanging="360"/>
      </w:pPr>
      <w:r>
        <w:rPr>
          <w:rFonts w:ascii="Times New Roman" w:hAnsi="Times New Roman"/>
          <w:sz w:val="18"/>
        </w:rPr>
        <w:t>[17] Gentyala, S. 2026. Operationalising AI Bills of Materials for Verifiable AI Provenance. Frontiers in Computer Science. DOI: 10.3389/fcomp.2026.1735919</w:t>
      </w:r>
    </w:p>
    <w:sectPr w:rsidR="00FC693F" w:rsidRPr="0006063C" w:rsidSect="00034616">
      <w:pgSz w:w="12240" w:h="15840"/>
      <w:pgMar w:top="1440" w:right="1080" w:bottom="1440" w:left="1080" w:header="720" w:footer="720" w:gutter="0"/>
      <w:cols w:space="720"/>
      <w:docGrid w:linePitch="360"/>
      <w:cols w:num="2" w:space="72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