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i/>
          <w:color w:val="00467F"/>
          <w:sz w:val="20"/>
        </w:rPr>
        <w:t>Computers &amp; Security</w:t>
      </w:r>
    </w:p>
    <w:p>
      <w:pPr>
        <w:spacing w:before="80" w:after="80"/>
        <w:pBdr>
          <w:bottom w:val="single" w:sz="6" w:space="1" w:color="auto"/>
        </w:pBdr>
      </w:pPr>
    </w:p>
    <w:p>
      <w:pPr>
        <w:spacing w:before="160" w:after="160"/>
        <w:jc w:val="left"/>
      </w:pPr>
      <w:r>
        <w:rPr>
          <w:rFonts w:ascii="Arial" w:hAnsi="Arial"/>
          <w:b/>
          <w:color w:val="00467F"/>
          <w:sz w:val="34"/>
        </w:rPr>
        <w:t>Weaponized Weights: A Cryptographic Provenance and Binary Inspection Framework for Securing Machine Learning Model Artifacts in Enterprise MLOps Pipelines</w:t>
      </w:r>
    </w:p>
    <w:p>
      <w:pPr>
        <w:spacing w:after="40"/>
      </w:pPr>
      <w:r>
        <w:rPr>
          <w:rFonts w:ascii="Arial" w:hAnsi="Arial"/>
          <w:b/>
          <w:sz w:val="24"/>
        </w:rPr>
        <w:t>Sunil Gentyala</w:t>
      </w:r>
      <w:r>
        <w:rPr>
          <w:rFonts w:ascii="Arial" w:hAnsi="Arial"/>
          <w:sz w:val="16"/>
          <w:vertAlign w:val="superscript"/>
        </w:rPr>
        <w:t>a,*</w:t>
      </w:r>
      <w:r>
        <w:rPr>
          <w:rFonts w:ascii="Arial" w:hAnsi="Arial"/>
          <w:b/>
          <w:sz w:val="24"/>
        </w:rPr>
        <w:t>, Rakesh Prakash</w:t>
      </w:r>
      <w:r>
        <w:rPr>
          <w:rFonts w:ascii="Arial" w:hAnsi="Arial"/>
          <w:sz w:val="16"/>
          <w:vertAlign w:val="superscript"/>
        </w:rPr>
        <w:t>b</w:t>
      </w:r>
    </w:p>
    <w:p>
      <w:pPr>
        <w:spacing w:after="40"/>
      </w:pPr>
      <w:r>
        <w:rPr>
          <w:rFonts w:ascii="Arial" w:hAnsi="Arial"/>
          <w:sz w:val="18"/>
        </w:rPr>
        <w:t>a HCLTech, Cybersecurity and AI Security Practice, Dallas, TX, USA</w:t>
      </w:r>
    </w:p>
    <w:p>
      <w:pPr>
        <w:spacing w:after="40"/>
      </w:pPr>
      <w:r>
        <w:rPr>
          <w:rFonts w:ascii="Arial" w:hAnsi="Arial"/>
          <w:sz w:val="18"/>
        </w:rPr>
        <w:t>b University of Colorado Boulder, Department of Computer Science, Boulder, CO, USA</w:t>
      </w:r>
    </w:p>
    <w:p>
      <w:pPr>
        <w:spacing w:after="120"/>
      </w:pPr>
      <w:r>
        <w:rPr>
          <w:rFonts w:ascii="Arial" w:hAnsi="Arial"/>
          <w:i/>
          <w:sz w:val="18"/>
        </w:rPr>
        <w:t>* Corresponding author. sunil.gentyala@ieee.org | Rakesh.Prakash@colorado.edu</w:t>
      </w:r>
    </w:p>
    <w:p>
      <w:pPr>
        <w:spacing w:before="80" w:after="80"/>
        <w:pBdr>
          <w:bottom w:val="single" w:sz="6" w:space="1" w:color="auto"/>
        </w:pBdr>
      </w:pPr>
    </w:p>
    <w:p>
      <w:pPr>
        <w:spacing w:before="80" w:after="40"/>
      </w:pPr>
      <w:r>
        <w:rPr>
          <w:rFonts w:ascii="Arial" w:hAnsi="Arial"/>
          <w:b/>
          <w:sz w:val="18"/>
        </w:rPr>
        <w:t xml:space="preserve">Keywords: </w:t>
      </w:r>
      <w:r>
        <w:rPr>
          <w:rFonts w:ascii="Arial" w:hAnsi="Arial"/>
          <w:sz w:val="18"/>
        </w:rPr>
        <w:t>Machine learning security; Supply chain attack; Model provenance; Safetensors; GGUF; Pickle deserialization; MLOps security; Cryptographic verification; CI/CD security; Binary inspection</w:t>
      </w:r>
    </w:p>
    <w:p>
      <w:pPr>
        <w:spacing w:before="80" w:after="80"/>
        <w:pBdr>
          <w:bottom w:val="single" w:sz="6" w:space="1" w:color="auto"/>
        </w:pBdr>
      </w:pPr>
    </w:p>
    <w:p>
      <w:pPr>
        <w:keepNext/>
        <w:spacing w:before="160" w:after="80"/>
      </w:pPr>
      <w:r>
        <w:rPr>
          <w:rFonts w:ascii="Arial" w:hAnsi="Arial"/>
          <w:b/>
          <w:sz w:val="22"/>
        </w:rPr>
        <w:t>Abstract</w:t>
      </w:r>
    </w:p>
    <w:p>
      <w:pPr>
        <w:spacing w:before="80" w:after="80"/>
        <w:jc w:val="both"/>
      </w:pPr>
      <w:r>
        <w:rPr>
          <w:rFonts w:ascii="Arial" w:hAnsi="Arial"/>
          <w:i w:val="0"/>
          <w:sz w:val="20"/>
        </w:rPr>
        <w:t>The widespread adoption of publicly distributed machine learning model artifacts has introduced a structural security risk that conventional enterprise tooling is fundamentally unable to address. Weight files serialized in PyTorch checkpoint, Safetensors, and GGUF formats are routinely downloaded from public model repositories and admitted into production inference pipelines without binary-level structural inspection or cryptographic provenance verification. Existing static analysis, dynamic analysis, and antivirus infrastructure have no visibility into these binary formats, leaving organizations exposed to a class of supply chain attack that operates entirely below the application layer.</w:t>
      </w:r>
    </w:p>
    <w:p>
      <w:pPr>
        <w:spacing w:before="80" w:after="80"/>
        <w:jc w:val="both"/>
      </w:pPr>
      <w:r>
        <w:rPr>
          <w:rFonts w:ascii="Arial" w:hAnsi="Arial"/>
          <w:i w:val="0"/>
          <w:sz w:val="20"/>
        </w:rPr>
        <w:t>This paper presents model-provenance-guard, a production-ready, open-source toolkit comprising a Python binary inspector (verify_weights.py) and a five-stage GitHub Actions provenance gate (model_scan.yml). The pipeline enforces SHA-256 hash verification against an internal trusted registry, Sigstore/Cosign cryptographic signature checking, pickle opcode scanning, Safetensors header anomaly detection, and GGUF metadata key auditing before any artifact is promoted within a downstream pipeline. We evaluate the toolkit against eight synthetic adversarial test cases covering dtype manipulation, data offset injection, magic byte substitution, malformed JSON header attacks, and unsupported version fields. The binary inspector achieved a false negative rate of 0.0% and a false positive rate of 0.0% across all test cases, demonstrating that shift-left provenance enforcement is both technically sound and operationally practical at the CI/CD boundary. The framework is released as open-source software at https://github.com/sunilgentyala/model-provenance-guard.</w:t>
      </w:r>
    </w:p>
    <w:p>
      <w:pPr>
        <w:keepNext/>
        <w:spacing w:before="240" w:after="80"/>
      </w:pPr>
      <w:r>
        <w:rPr>
          <w:rFonts w:ascii="Arial" w:hAnsi="Arial"/>
          <w:b/>
          <w:color w:val="00467F"/>
          <w:sz w:val="24"/>
        </w:rPr>
        <w:t>1. Introduction</w:t>
      </w:r>
    </w:p>
    <w:p>
      <w:pPr>
        <w:spacing w:before="0" w:after="80"/>
        <w:jc w:val="both"/>
      </w:pPr>
      <w:r>
        <w:rPr>
          <w:rFonts w:ascii="Arial" w:hAnsi="Arial"/>
          <w:i w:val="0"/>
          <w:sz w:val="20"/>
        </w:rPr>
        <w:t>The security research community's focus on artificial intelligence systems has been concentrated primarily on prompt injection, model output manipulation, and inference-time adversarial inputs. Those threats are real and warrant continued attention. However, their prominence in the discourse has permitted a structurally more fundamental threat to develop with insufficient scrutiny. Adversaries with the means and motivation to compromise enterprise machine learning deployments are no longer limited to crafting clever inputs at runtime. They are embedding threats directly inside compiled weight artifacts that machine learning engineers download from public model hubs as a routine operational act, with no inspection beyond confirming that the download completed successfully.</w:t>
      </w:r>
    </w:p>
    <w:p>
      <w:pPr>
        <w:spacing w:before="80" w:after="80"/>
        <w:jc w:val="both"/>
      </w:pPr>
      <w:r>
        <w:rPr>
          <w:rFonts w:ascii="Arial" w:hAnsi="Arial"/>
          <w:i w:val="0"/>
          <w:sz w:val="20"/>
        </w:rPr>
        <w:t>The attack surface has shifted from the application layer to the binary layer. Static application security testing tools analyze source code. Dynamic testing tools probe running applications. Antivirus engines match known malware signatures against file content. None of these capabilities has any meaningful visibility into the internal structure of a 4-bit quantized GGUF binary, a Safetensors archive, or a PyTorch checkpoint serialized with Python's pickle protocol. When an engineer issues a huggingface-cli download command and stages the resulting artifact in a corporate MLOps pipeline, no system in the standard enterprise security stack has examined what is structurally present inside that binary.</w:t>
      </w:r>
    </w:p>
    <w:p>
      <w:pPr>
        <w:spacing w:before="80" w:after="80"/>
        <w:jc w:val="both"/>
      </w:pPr>
      <w:r>
        <w:rPr>
          <w:rFonts w:ascii="Arial" w:hAnsi="Arial"/>
          <w:i w:val="0"/>
          <w:sz w:val="20"/>
        </w:rPr>
        <w:t>Three weight file formats account for the substantial majority of model artifacts in contemporary enterprise deployment. PyTorch .pt and .pth checkpoints rely on Python's pickle serialization protocol, which by design permits arbitrary Python objects to be deserialized, creating a direct remote code execution pathway at the moment torch.load() is called [2]. Safetensors was designed specifically to eliminate deserialization-time code execution; however, its JSON header parsing stage introduces attack surfaces through parser exploitation, metadata field abuse, and the silent embedding of backdoored weights [8]. GGUF, the dominant format for quantized local inference, includes a flexible metadata section with no schema enforcement, and multiple heap-buffer-overflow vulnerabilities were disclosed in its reference C parser in 2024 [11].</w:t>
      </w:r>
    </w:p>
    <w:p>
      <w:pPr>
        <w:spacing w:before="80" w:after="80"/>
        <w:jc w:val="both"/>
      </w:pPr>
      <w:r>
        <w:rPr>
          <w:rFonts w:ascii="Arial" w:hAnsi="Arial"/>
          <w:i w:val="0"/>
          <w:sz w:val="20"/>
        </w:rPr>
        <w:t>This paper makes the following contributions: (1) A structured, format-level threat model covering the attack surfaces of PyTorch checkpoints, Safetensors archives, and GGUF binaries. (2) verify_weights.py, a Python binary inspector performing Safetensors header anomaly detection and GGUF magic-byte and metadata key auditing without loading tensor data into memory. (3) A five-stage GitHub Actions provenance gate integrating registry hash verification, Sigstore/Cosign signature verification, picklescan opcode analysis, and binary inspection into a blocking CI/CD workflow. (4) An empirical evaluation against eight synthetic adversarial test cases demonstrating zero false negatives and zero false positives across all tested attack scenarios. (5) Cross-platform portability corrections and deprecation fixes applied to the reference implementation.</w:t>
      </w:r>
    </w:p>
    <w:p>
      <w:pPr>
        <w:keepNext/>
        <w:spacing w:before="240" w:after="80"/>
      </w:pPr>
      <w:r>
        <w:rPr>
          <w:rFonts w:ascii="Arial" w:hAnsi="Arial"/>
          <w:b/>
          <w:color w:val="00467F"/>
          <w:sz w:val="24"/>
        </w:rPr>
        <w:t>2. Background and Related Work</w:t>
      </w:r>
    </w:p>
    <w:p>
      <w:pPr>
        <w:keepNext/>
        <w:spacing w:before="160" w:after="80"/>
      </w:pPr>
      <w:r>
        <w:rPr>
          <w:rFonts w:ascii="Arial" w:hAnsi="Arial"/>
          <w:b/>
          <w:sz w:val="22"/>
        </w:rPr>
        <w:t>2.1. Machine Learning Supply Chain Attacks</w:t>
      </w:r>
    </w:p>
    <w:p>
      <w:pPr>
        <w:spacing w:before="0" w:after="80"/>
        <w:jc w:val="both"/>
      </w:pPr>
      <w:r>
        <w:rPr>
          <w:rFonts w:ascii="Arial" w:hAnsi="Arial"/>
          <w:i w:val="0"/>
          <w:sz w:val="20"/>
        </w:rPr>
        <w:t>Supply chain attacks against software artifacts have been documented for over a decade, but their application to machine learning weight files is a recent and rapidly evolving phenomenon. Jiang et al. [4] conducted a systematic measurement study of malicious code poisoning attacks on pre-trained model hubs, documenting how attackers exploit namespace trust and version ambiguity to deliver weaponized artifacts to downstream consumers. The Communications of the ACM survey [5] argues that the combination of billions of monthly model downloads and weak provenance controls makes model hubs uniquely attractive targets relative to traditional package registries.</w:t>
      </w:r>
    </w:p>
    <w:p>
      <w:pPr>
        <w:spacing w:before="80" w:after="80"/>
        <w:jc w:val="both"/>
      </w:pPr>
      <w:r>
        <w:rPr>
          <w:rFonts w:ascii="Arial" w:hAnsi="Arial"/>
          <w:i w:val="0"/>
          <w:sz w:val="20"/>
        </w:rPr>
        <w:t>The zero-trust model for AI data pipelines articulated by Mudusu and Gentyala [1] establishes that the never-trust-always-verify principle must extend directly to data and model artifacts, not merely to network perimeters. That work demonstrates that cryptographic authentication coupled with tamper-evident lineage tracking achieves complete detection of artifact tampering and component impersonation in production AI systems, validating the architectural approach adopted in the present framework.</w:t>
      </w:r>
    </w:p>
    <w:p>
      <w:pPr>
        <w:keepNext/>
        <w:spacing w:before="160" w:after="80"/>
      </w:pPr>
      <w:r>
        <w:rPr>
          <w:rFonts w:ascii="Arial" w:hAnsi="Arial"/>
          <w:b/>
          <w:sz w:val="22"/>
        </w:rPr>
        <w:t>2.2. Pickle Deserialization Vulnerabilities</w:t>
      </w:r>
    </w:p>
    <w:p>
      <w:pPr>
        <w:spacing w:before="0" w:after="80"/>
        <w:jc w:val="both"/>
      </w:pPr>
      <w:r>
        <w:rPr>
          <w:rFonts w:ascii="Arial" w:hAnsi="Arial"/>
          <w:i w:val="0"/>
          <w:sz w:val="20"/>
        </w:rPr>
        <w:t>The most thoroughly characterized vulnerability class in the ML weight file domain is Python pickle deserialization. The pickle protocol's __reduce__ mechanism enables arbitrary Python callables to execute during deserialization, providing a direct code execution pathway that requires no user interaction beyond a standard torch.load() call [2]. Koishybayev et al. [2] present PickleBall, a secure deserialization system that intercepts pickle opcodes prior to object reconstruction and enforces a safe-by-default allowlist, confirming that the vulnerability is technically addressable but requires purpose-built defense rather than general-purpose antivirus.</w:t>
      </w:r>
    </w:p>
    <w:p>
      <w:pPr>
        <w:keepNext/>
        <w:spacing w:before="160" w:after="80"/>
      </w:pPr>
      <w:r>
        <w:rPr>
          <w:rFonts w:ascii="Arial" w:hAnsi="Arial"/>
          <w:b/>
          <w:sz w:val="22"/>
        </w:rPr>
        <w:t>2.3. Safetensors Format Security</w:t>
      </w:r>
    </w:p>
    <w:p>
      <w:pPr>
        <w:spacing w:before="0" w:after="80"/>
        <w:jc w:val="both"/>
      </w:pPr>
      <w:r>
        <w:rPr>
          <w:rFonts w:ascii="Arial" w:hAnsi="Arial"/>
          <w:i w:val="0"/>
          <w:sz w:val="20"/>
        </w:rPr>
        <w:t>The Safetensors format [8] was developed specifically to eliminate deserialization-time code execution by replacing the pickle protocol with a JSON-encoded header followed by raw tensor byte data. The Trail of Bits security assessment of the reference implementation (2023) confirmed the absence of deserialization vulnerabilities. However, the JSON header parsing stage is not without risk: oversized headers, embedded null bytes, and deeply nested JSON structures can exploit implementation-specific parser behavior. CryptoTensors [9] proposes an extension that adds tensor-level encryption and embedded access control policies.</w:t>
      </w:r>
    </w:p>
    <w:p>
      <w:pPr>
        <w:keepNext/>
        <w:spacing w:before="160" w:after="80"/>
      </w:pPr>
      <w:r>
        <w:rPr>
          <w:rFonts w:ascii="Arial" w:hAnsi="Arial"/>
          <w:b/>
          <w:sz w:val="22"/>
        </w:rPr>
        <w:t>2.4. GGUF Format and Binary Parsing Vulnerabilities</w:t>
      </w:r>
    </w:p>
    <w:p>
      <w:pPr>
        <w:spacing w:before="0" w:after="80"/>
        <w:jc w:val="both"/>
      </w:pPr>
      <w:r>
        <w:rPr>
          <w:rFonts w:ascii="Arial" w:hAnsi="Arial"/>
          <w:i w:val="0"/>
          <w:sz w:val="20"/>
        </w:rPr>
        <w:t>GGUF, introduced in August 2023 and adopted as the dominant distribution format for quantized inference in Ollama and llama.cpp, presents a binary attack surface that differs qualitatively from the other two formats. Cisco Talos disclosed three heap-buffer-overflow vulnerabilities in the llama.cpp GGUF parser in early 2024, all arising from insufficient bounds checking in the metadata key-value section parsing logic. A separate research contribution demonstrates that quantization error in GGUF models provides sufficient numerical flexibility to construct adversarial models whose behavior is benign under full-precision analysis but malicious under quantized inference [11].</w:t>
      </w:r>
    </w:p>
    <w:p>
      <w:pPr>
        <w:keepNext/>
        <w:spacing w:before="160" w:after="80"/>
      </w:pPr>
      <w:r>
        <w:rPr>
          <w:rFonts w:ascii="Arial" w:hAnsi="Arial"/>
          <w:b/>
          <w:sz w:val="22"/>
        </w:rPr>
        <w:t>2.5. Neural Backdoor Attacks</w:t>
      </w:r>
    </w:p>
    <w:p>
      <w:pPr>
        <w:spacing w:before="0" w:after="80"/>
        <w:jc w:val="both"/>
      </w:pPr>
      <w:r>
        <w:rPr>
          <w:rFonts w:ascii="Arial" w:hAnsi="Arial"/>
          <w:i w:val="0"/>
          <w:sz w:val="20"/>
        </w:rPr>
        <w:t>The neural backdoor threat was formalized by Gu et al. in the BadNets paper [3], which demonstrated that a model can be trained to behave correctly on all clean inputs while triggering targeted misclassification on inputs containing a specific attacker-controlled pattern. This attack class is undetectable by any binary inspection technique: the weight file loads cleanly, passes all format-level checks, and produces correct outputs during standard evaluation. Detection requires behavioral monitoring at inference time, specifically analysis of output probability distributions and internal activation statistics against baselines established from known-clean model weights.</w:t>
      </w:r>
    </w:p>
    <w:p>
      <w:pPr>
        <w:keepNext/>
        <w:spacing w:before="160" w:after="80"/>
      </w:pPr>
      <w:r>
        <w:rPr>
          <w:rFonts w:ascii="Arial" w:hAnsi="Arial"/>
          <w:b/>
          <w:sz w:val="22"/>
        </w:rPr>
        <w:t>2.6. Software Artifact Signing</w:t>
      </w:r>
    </w:p>
    <w:p>
      <w:pPr>
        <w:spacing w:before="0" w:after="80"/>
        <w:jc w:val="both"/>
      </w:pPr>
      <w:r>
        <w:rPr>
          <w:rFonts w:ascii="Arial" w:hAnsi="Arial"/>
          <w:i w:val="0"/>
          <w:sz w:val="20"/>
        </w:rPr>
        <w:t>Sigstore [6] provides a keyless signing infrastructure built on ephemeral OIDC identity tokens, substantially lowering the adoption barrier relative to traditional GPG-based signing schemes. The Cosign component of the Sigstore ecosystem supports signing and verification of arbitrary binary objects, making it directly applicable to model weight files. As of 2025, Sigstore underlies artifact signing for npm, PyPI, and Kubernetes. The OpenSSF AI/ML Working Group has published a dedicated model signing specification [15] that adapts the Sigstore framework specifically to the machine learning weight file distribution context.</w:t>
      </w:r>
    </w:p>
    <w:p>
      <w:pPr>
        <w:keepNext/>
        <w:spacing w:before="160" w:after="80"/>
      </w:pPr>
      <w:r>
        <w:rPr>
          <w:rFonts w:ascii="Arial" w:hAnsi="Arial"/>
          <w:b/>
          <w:sz w:val="22"/>
        </w:rPr>
        <w:t>2.7. ML Artifact Provenance</w:t>
      </w:r>
    </w:p>
    <w:p>
      <w:pPr>
        <w:spacing w:before="0" w:after="80"/>
        <w:jc w:val="both"/>
      </w:pPr>
      <w:r>
        <w:rPr>
          <w:rFonts w:ascii="Arial" w:hAnsi="Arial"/>
          <w:i w:val="0"/>
          <w:sz w:val="20"/>
        </w:rPr>
        <w:t>Schlegel and Sattler [7] present a PROV-compliant provenance model for end-to-end ML pipelines that captures artifact lineage through MLflow and Git activities. Gentyala [12] frames the AI supply chain problem in terms of AI Software Bills of Materials (AI-SBOMs), demonstrating that CycloneDX and SPDX standards can be adapted to encode model weight metadata and cryptographic attestations within familiar SBOM infrastructure. The NIST AI Risk Management Framework [13] and MITRE ATLAS [14] provide complementary governance and threat taxonomy infrastructure, and the OWASP LLM Top 10 explicitly classifies supply chain compromise as a critical risk category for LLM deployments [16].</w:t>
      </w:r>
    </w:p>
    <w:p>
      <w:pPr>
        <w:keepNext/>
        <w:spacing w:before="240" w:after="80"/>
      </w:pPr>
      <w:r>
        <w:rPr>
          <w:rFonts w:ascii="Arial" w:hAnsi="Arial"/>
          <w:b/>
          <w:color w:val="00467F"/>
          <w:sz w:val="24"/>
        </w:rPr>
        <w:t>3. Threat Model</w:t>
      </w:r>
    </w:p>
    <w:p>
      <w:pPr>
        <w:keepNext/>
        <w:spacing w:before="160" w:after="80"/>
      </w:pPr>
      <w:r>
        <w:rPr>
          <w:rFonts w:ascii="Arial" w:hAnsi="Arial"/>
          <w:b/>
          <w:sz w:val="22"/>
        </w:rPr>
        <w:t>3.1. Adversary Model</w:t>
      </w:r>
    </w:p>
    <w:p>
      <w:pPr>
        <w:spacing w:before="0" w:after="80"/>
        <w:jc w:val="both"/>
      </w:pPr>
      <w:r>
        <w:rPr>
          <w:rFonts w:ascii="Arial" w:hAnsi="Arial"/>
          <w:i w:val="0"/>
          <w:sz w:val="20"/>
        </w:rPr>
        <w:t>We model an adversary who has obtained write access to a model repository on a public model hub. Three realistic entry points exist: account compromise of a legitimate model publisher, a pull request containing a malicious weight modification merged by an inattentive maintainer, and creation of a confusingly named fork designed to capture traffic from engineers who do not verify repository provenance before downloading. The adversary's objective is to deliver a weaponized weight artifact to at least one GPU-enabled inference endpoint inside a target enterprise environment. The adversary has read access to the model hub API and can observe download statistics and model version popularity. We do not assume the adversary has prior network access to the target organization's internal infrastructure.</w:t>
      </w:r>
    </w:p>
    <w:p>
      <w:pPr>
        <w:keepNext/>
        <w:spacing w:before="160" w:after="80"/>
      </w:pPr>
      <w:r>
        <w:rPr>
          <w:rFonts w:ascii="Arial" w:hAnsi="Arial"/>
          <w:b/>
          <w:sz w:val="22"/>
        </w:rPr>
        <w:t>3.2. Attack Surface: PyTorch Checkpoints</w:t>
      </w:r>
    </w:p>
    <w:p>
      <w:pPr>
        <w:spacing w:before="0" w:after="80"/>
        <w:jc w:val="both"/>
      </w:pPr>
      <w:r>
        <w:rPr>
          <w:rFonts w:ascii="Arial" w:hAnsi="Arial"/>
          <w:i w:val="0"/>
          <w:sz w:val="20"/>
        </w:rPr>
        <w:t>PyTorch .pt and .pth files use Python's pickle serialization protocol. The pickle module supports the __reduce__ protocol, which specifies a callable and its arguments to be used during deserialization. An adversary can embed an object whose __reduce__ method encodes a system command, an outbound network connection, or a persistence mechanism. This payload executes synchronously during the call to torch.load(), before the caller can inspect the returned object. No user action beyond the standard model loading call is required. On inference infrastructure with GPU access and network egress, this constitutes a high-value beachhead.</w:t>
      </w:r>
    </w:p>
    <w:p>
      <w:pPr>
        <w:keepNext/>
        <w:spacing w:before="160" w:after="80"/>
      </w:pPr>
      <w:r>
        <w:rPr>
          <w:rFonts w:ascii="Arial" w:hAnsi="Arial"/>
          <w:b/>
          <w:sz w:val="22"/>
        </w:rPr>
        <w:t>3.3. Attack Surface: Safetensors</w:t>
      </w:r>
    </w:p>
    <w:p>
      <w:pPr>
        <w:spacing w:before="0" w:after="80"/>
        <w:jc w:val="both"/>
      </w:pPr>
      <w:r>
        <w:rPr>
          <w:rFonts w:ascii="Arial" w:hAnsi="Arial"/>
          <w:i w:val="0"/>
          <w:sz w:val="20"/>
        </w:rPr>
        <w:t>Safetensors eliminates deserialization-time code execution but introduces three distinct residual attack surfaces. First, the JSON header that is parsed before any tensor data is accessed is vulnerable to parser exploitation through oversized payloads, malformed Unicode sequences, and JSON structures designed to trigger recursion-depth failures or memory exhaustion in consuming applications. Second, the __metadata__ dictionary accepts arbitrary string key-value pairs without schema enforcement; applications that log or forward metadata values without sanitization may expose themselves to secondary injection attacks. Third, Safetensors files can carry weights modified through backdoor training attacks [3]; these files pass all structural checks and behave correctly on clean inputs.</w:t>
      </w:r>
    </w:p>
    <w:p>
      <w:pPr>
        <w:keepNext/>
        <w:spacing w:before="160" w:after="80"/>
      </w:pPr>
      <w:r>
        <w:rPr>
          <w:rFonts w:ascii="Arial" w:hAnsi="Arial"/>
          <w:b/>
          <w:sz w:val="22"/>
        </w:rPr>
        <w:t>3.4. Attack Surface: GGUF</w:t>
      </w:r>
    </w:p>
    <w:p>
      <w:pPr>
        <w:spacing w:before="0" w:after="80"/>
        <w:jc w:val="both"/>
      </w:pPr>
      <w:r>
        <w:rPr>
          <w:rFonts w:ascii="Arial" w:hAnsi="Arial"/>
          <w:i w:val="0"/>
          <w:sz w:val="20"/>
        </w:rPr>
        <w:t>The GGUF metadata section has no schema enforcement in the format specification. An adversary can embed arbitrary data under custom metadata keys; in native C and C++ consumers, keys or values that exceed what the consuming code anticipates can trigger heap-based buffer overflows. The version field at bytes 4-7 controls how the remainder of the file is parsed; supplying a non-standard version value can induce undefined parsing behavior in consumers that do not implement explicit version gating. The tensor count field at bytes 8-15 is trusted by consuming libraries; a mismatch between the declared count and the number of tensors actually present in the file causes the parser to over-read its buffer.</w:t>
      </w:r>
    </w:p>
    <w:p>
      <w:pPr>
        <w:keepNext/>
        <w:spacing w:before="160" w:after="80"/>
      </w:pPr>
      <w:r>
        <w:rPr>
          <w:rFonts w:ascii="Arial" w:hAnsi="Arial"/>
          <w:b/>
          <w:sz w:val="22"/>
        </w:rPr>
        <w:t>3.5. Practical Attack Path</w:t>
      </w:r>
    </w:p>
    <w:p>
      <w:pPr>
        <w:spacing w:before="0" w:after="80"/>
        <w:jc w:val="both"/>
      </w:pPr>
      <w:r>
        <w:rPr>
          <w:rFonts w:ascii="Arial" w:hAnsi="Arial"/>
          <w:i w:val="0"/>
          <w:sz w:val="20"/>
        </w:rPr>
        <w:t>A threat actor creates a Hugging Face account whose name differs from a popular model publisher's account by a single character. They publish a modified checkpoint with a plausible model card, including a hash value they compute themselves after modification. Engineers search for the target model, encounter the forked repository, and download the artifact. The artifact clears all code-focused CI checks because no binary model inspection exists in the pipeline. It is registered in the internal model registry, promoted to staging, and eventually deployed to a production inference endpoint.</w:t>
      </w:r>
    </w:p>
    <w:p>
      <w:pPr>
        <w:keepNext/>
        <w:spacing w:before="240" w:after="80"/>
      </w:pPr>
      <w:r>
        <w:rPr>
          <w:rFonts w:ascii="Arial" w:hAnsi="Arial"/>
          <w:b/>
          <w:color w:val="00467F"/>
          <w:sz w:val="24"/>
        </w:rPr>
        <w:t>4. System Architecture</w:t>
      </w:r>
    </w:p>
    <w:p>
      <w:pPr>
        <w:keepNext/>
        <w:spacing w:before="160" w:after="80"/>
      </w:pPr>
      <w:r>
        <w:rPr>
          <w:rFonts w:ascii="Arial" w:hAnsi="Arial"/>
          <w:b/>
          <w:sz w:val="22"/>
        </w:rPr>
        <w:t>4.1. Design Principles</w:t>
      </w:r>
    </w:p>
    <w:p>
      <w:pPr>
        <w:spacing w:before="0" w:after="80"/>
        <w:jc w:val="both"/>
      </w:pPr>
      <w:r>
        <w:rPr>
          <w:rFonts w:ascii="Arial" w:hAnsi="Arial"/>
          <w:i w:val="0"/>
          <w:sz w:val="20"/>
        </w:rPr>
        <w:t>The model-provenance-guard framework is built on four design principles grounded in supply chain security practice and the zero-trust posture for AI systems described by Mudusu and Gentyala [1].</w:t>
      </w:r>
    </w:p>
    <w:p>
      <w:pPr>
        <w:spacing w:before="60" w:after="80"/>
        <w:jc w:val="both"/>
      </w:pPr>
      <w:r>
        <w:rPr>
          <w:rFonts w:ascii="Arial" w:hAnsi="Arial"/>
          <w:b/>
          <w:i w:val="0"/>
          <w:sz w:val="20"/>
        </w:rPr>
        <w:t>Shift-left enforcement.</w:t>
      </w:r>
      <w:r>
        <w:rPr>
          <w:rFonts w:ascii="Arial" w:hAnsi="Arial"/>
          <w:b w:val="0"/>
          <w:i w:val="0"/>
          <w:sz w:val="20"/>
        </w:rPr>
        <w:t xml:space="preserve"> Security checks must occur at the model intake boundary, before any artifact is registered in an internal model registry or promoted beyond staging. Post-deployment inspection provides no prevention value.</w:t>
      </w:r>
    </w:p>
    <w:p>
      <w:pPr>
        <w:spacing w:before="60" w:after="80"/>
        <w:jc w:val="both"/>
      </w:pPr>
      <w:r>
        <w:rPr>
          <w:rFonts w:ascii="Arial" w:hAnsi="Arial"/>
          <w:b/>
          <w:i w:val="0"/>
          <w:sz w:val="20"/>
        </w:rPr>
        <w:t>Defense in depth.</w:t>
      </w:r>
      <w:r>
        <w:rPr>
          <w:rFonts w:ascii="Arial" w:hAnsi="Arial"/>
          <w:b w:val="0"/>
          <w:i w:val="0"/>
          <w:sz w:val="20"/>
        </w:rPr>
        <w:t xml:space="preserve"> No single control addresses the full threat surface. Hash verification, signature verification, and binary inspection each address a distinct portion of the threat surface independently.</w:t>
      </w:r>
    </w:p>
    <w:p>
      <w:pPr>
        <w:spacing w:before="60" w:after="80"/>
        <w:jc w:val="both"/>
      </w:pPr>
      <w:r>
        <w:rPr>
          <w:rFonts w:ascii="Arial" w:hAnsi="Arial"/>
          <w:b/>
          <w:i w:val="0"/>
          <w:sz w:val="20"/>
        </w:rPr>
        <w:t>Hard failure semantics.</w:t>
      </w:r>
      <w:r>
        <w:rPr>
          <w:rFonts w:ascii="Arial" w:hAnsi="Arial"/>
          <w:b w:val="0"/>
          <w:i w:val="0"/>
          <w:sz w:val="20"/>
        </w:rPr>
        <w:t xml:space="preserve"> Any control failure must block pipeline progression. A gate that emits warnings while continuing to promote artifacts provides compliance theater without security value.</w:t>
      </w:r>
    </w:p>
    <w:p>
      <w:pPr>
        <w:spacing w:before="60" w:after="80"/>
        <w:jc w:val="both"/>
      </w:pPr>
      <w:r>
        <w:rPr>
          <w:rFonts w:ascii="Arial" w:hAnsi="Arial"/>
          <w:b/>
          <w:i w:val="0"/>
          <w:sz w:val="20"/>
        </w:rPr>
        <w:t>Registry integrity bootstrapping.</w:t>
      </w:r>
      <w:r>
        <w:rPr>
          <w:rFonts w:ascii="Arial" w:hAnsi="Arial"/>
          <w:b w:val="0"/>
          <w:i w:val="0"/>
          <w:sz w:val="20"/>
        </w:rPr>
        <w:t xml:space="preserve"> The trusted hash registry must itself be protected against tampering. The pipeline verifies the registry's own SHA-256 hash against a sealed repository secret as its first action.</w:t>
      </w:r>
    </w:p>
    <w:p>
      <w:pPr>
        <w:keepNext/>
        <w:spacing w:before="160" w:after="80"/>
      </w:pPr>
      <w:r>
        <w:rPr>
          <w:rFonts w:ascii="Arial" w:hAnsi="Arial"/>
          <w:b/>
          <w:sz w:val="22"/>
        </w:rPr>
        <w:t>4.2. Five-Stage Provenance Gate</w:t>
      </w:r>
    </w:p>
    <w:p>
      <w:pPr>
        <w:spacing w:before="0" w:after="80"/>
        <w:jc w:val="both"/>
      </w:pPr>
      <w:r>
        <w:rPr>
          <w:rFonts w:ascii="Arial" w:hAnsi="Arial"/>
          <w:i w:val="0"/>
          <w:sz w:val="20"/>
        </w:rPr>
        <w:t>Table 1 describes the five GitHub Actions jobs that constitute the provenance gate.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9D9D9"/>
          </w:tcPr>
          <w:p>
            <w:pPr>
              <w:spacing w:before="40" w:after="40"/>
            </w:pPr>
            <w:r>
              <w:rPr>
                <w:rFonts w:ascii="Arial" w:hAnsi="Arial"/>
                <w:b/>
                <w:sz w:val="18"/>
              </w:rPr>
              <w:t>Job</w:t>
            </w:r>
          </w:p>
        </w:tc>
        <w:tc>
          <w:tcPr>
            <w:tcW w:type="dxa" w:w="4873"/>
            <w:shd w:val="clear" w:color="auto" w:fill="D9D9D9"/>
          </w:tcPr>
          <w:p>
            <w:pPr>
              <w:spacing w:before="40" w:after="40"/>
            </w:pPr>
            <w:r>
              <w:rPr>
                <w:rFonts w:ascii="Arial" w:hAnsi="Arial"/>
                <w:b/>
                <w:sz w:val="18"/>
              </w:rPr>
              <w:t>Security Objective</w:t>
            </w:r>
          </w:p>
        </w:tc>
      </w:tr>
      <w:tr>
        <w:tc>
          <w:tcPr>
            <w:tcW w:type="dxa" w:w="4873"/>
          </w:tcPr>
          <w:p>
            <w:pPr>
              <w:spacing w:before="40" w:after="40"/>
            </w:pPr>
            <w:r>
              <w:rPr>
                <w:rFonts w:ascii="Arial" w:hAnsi="Arial"/>
                <w:sz w:val="18"/>
              </w:rPr>
              <w:t>1. Registry Integrity</w:t>
            </w:r>
          </w:p>
        </w:tc>
        <w:tc>
          <w:tcPr>
            <w:tcW w:type="dxa" w:w="4873"/>
          </w:tcPr>
          <w:p>
            <w:pPr>
              <w:spacing w:before="40" w:after="40"/>
            </w:pPr>
            <w:r>
              <w:rPr>
                <w:rFonts w:ascii="Arial" w:hAnsi="Arial"/>
                <w:sz w:val="18"/>
              </w:rPr>
              <w:t>Verifies SHA-256 of trusted_models.json against a sealed repository secret before any registry lookup is trusted.</w:t>
            </w:r>
          </w:p>
        </w:tc>
      </w:tr>
      <w:tr>
        <w:tc>
          <w:tcPr>
            <w:tcW w:type="dxa" w:w="4873"/>
          </w:tcPr>
          <w:p>
            <w:pPr>
              <w:spacing w:before="40" w:after="40"/>
            </w:pPr>
            <w:r>
              <w:rPr>
                <w:rFonts w:ascii="Arial" w:hAnsi="Arial"/>
                <w:sz w:val="18"/>
              </w:rPr>
              <w:t>2. Hash Verification</w:t>
            </w:r>
          </w:p>
        </w:tc>
        <w:tc>
          <w:tcPr>
            <w:tcW w:type="dxa" w:w="4873"/>
          </w:tcPr>
          <w:p>
            <w:pPr>
              <w:spacing w:before="40" w:after="40"/>
            </w:pPr>
            <w:r>
              <w:rPr>
                <w:rFonts w:ascii="Arial" w:hAnsi="Arial"/>
                <w:sz w:val="18"/>
              </w:rPr>
              <w:t>Computes artifact SHA-256 immediately after download and compares against the internal trusted registry, not the model card.</w:t>
            </w:r>
          </w:p>
        </w:tc>
      </w:tr>
      <w:tr>
        <w:tc>
          <w:tcPr>
            <w:tcW w:type="dxa" w:w="4873"/>
          </w:tcPr>
          <w:p>
            <w:pPr>
              <w:spacing w:before="40" w:after="40"/>
            </w:pPr>
            <w:r>
              <w:rPr>
                <w:rFonts w:ascii="Arial" w:hAnsi="Arial"/>
                <w:sz w:val="18"/>
              </w:rPr>
              <w:t>3. Cosign Signature</w:t>
            </w:r>
          </w:p>
        </w:tc>
        <w:tc>
          <w:tcPr>
            <w:tcW w:type="dxa" w:w="4873"/>
          </w:tcPr>
          <w:p>
            <w:pPr>
              <w:spacing w:before="40" w:after="40"/>
            </w:pPr>
            <w:r>
              <w:rPr>
                <w:rFonts w:ascii="Arial" w:hAnsi="Arial"/>
                <w:sz w:val="18"/>
              </w:rPr>
              <w:t>Verifies a Cosign .bundle or .sig file against an organization public key stored as a sealed repository secret.</w:t>
            </w:r>
          </w:p>
        </w:tc>
      </w:tr>
      <w:tr>
        <w:tc>
          <w:tcPr>
            <w:tcW w:type="dxa" w:w="4873"/>
          </w:tcPr>
          <w:p>
            <w:pPr>
              <w:spacing w:before="40" w:after="40"/>
            </w:pPr>
            <w:r>
              <w:rPr>
                <w:rFonts w:ascii="Arial" w:hAnsi="Arial"/>
                <w:sz w:val="18"/>
              </w:rPr>
              <w:t>4. Binary Inspection</w:t>
            </w:r>
          </w:p>
        </w:tc>
        <w:tc>
          <w:tcPr>
            <w:tcW w:type="dxa" w:w="4873"/>
          </w:tcPr>
          <w:p>
            <w:pPr>
              <w:spacing w:before="40" w:after="40"/>
            </w:pPr>
            <w:r>
              <w:rPr>
                <w:rFonts w:ascii="Arial" w:hAnsi="Arial"/>
                <w:sz w:val="18"/>
              </w:rPr>
              <w:t>Routes to picklescan for PyTorch checkpoints, or to verify_weights.py for Safetensors and GGUF artifacts.</w:t>
            </w:r>
          </w:p>
        </w:tc>
      </w:tr>
      <w:tr>
        <w:tc>
          <w:tcPr>
            <w:tcW w:type="dxa" w:w="4873"/>
          </w:tcPr>
          <w:p>
            <w:pPr>
              <w:spacing w:before="40" w:after="40"/>
            </w:pPr>
            <w:r>
              <w:rPr>
                <w:rFonts w:ascii="Arial" w:hAnsi="Arial"/>
                <w:sz w:val="18"/>
              </w:rPr>
              <w:t>5. Provenance Gate</w:t>
            </w:r>
          </w:p>
        </w:tc>
        <w:tc>
          <w:tcPr>
            <w:tcW w:type="dxa" w:w="4873"/>
          </w:tcPr>
          <w:p>
            <w:pPr>
              <w:spacing w:before="40" w:after="40"/>
            </w:pPr>
            <w:r>
              <w:rPr>
                <w:rFonts w:ascii="Arial" w:hAnsi="Arial"/>
                <w:sz w:val="18"/>
              </w:rPr>
              <w:t>Evaluates all upstream job results and blocks the pipeline if any required job did not succeed. Writes a summary for audit logging.</w:t>
            </w:r>
          </w:p>
        </w:tc>
      </w:tr>
    </w:tbl>
    <w:p>
      <w:pPr>
        <w:spacing w:before="80"/>
      </w:pPr>
      <w:r>
        <w:rPr>
          <w:rFonts w:ascii="Arial" w:hAnsi="Arial"/>
          <w:i/>
          <w:sz w:val="18"/>
        </w:rPr>
        <w:t>Table 1: GitHub Actions provenance gate jobs and their security objectives.</w:t>
      </w:r>
    </w:p>
    <w:p>
      <w:pPr>
        <w:keepNext/>
        <w:spacing w:before="160" w:after="80"/>
      </w:pPr>
      <w:r>
        <w:rPr>
          <w:rFonts w:ascii="Arial" w:hAnsi="Arial"/>
          <w:b/>
          <w:sz w:val="22"/>
        </w:rPr>
        <w:t>4.3. Trusted Registry Design</w:t>
      </w:r>
    </w:p>
    <w:p>
      <w:pPr>
        <w:spacing w:before="0" w:after="80"/>
        <w:jc w:val="both"/>
      </w:pPr>
      <w:r>
        <w:rPr>
          <w:rFonts w:ascii="Arial" w:hAnsi="Arial"/>
          <w:i w:val="0"/>
          <w:sz w:val="20"/>
        </w:rPr>
        <w:t>The trusted model registry is a version-controlled JSON file whose schema requires, for each registered artifact, the model name, the artifact filename, a SHA-256 hash computed by a human reviewer from the artifact at initial review time, the source URL and source repository commit hash, the reviewer's identity, the review timestamp, and an optional Cosign bundle path. The registry is protected by branch protection rules requiring at least one approved reviewer on any pull request that modifies it.</w:t>
      </w:r>
    </w:p>
    <w:p>
      <w:pPr>
        <w:spacing w:before="80" w:after="80"/>
        <w:jc w:val="both"/>
      </w:pPr>
      <w:r>
        <w:rPr>
          <w:rFonts w:ascii="Arial" w:hAnsi="Arial"/>
          <w:i w:val="0"/>
          <w:sz w:val="20"/>
        </w:rPr>
        <w:t>The critical design constraint is that the trusted hash must be computed independently by the reviewing engineer from the artifact directly, not sourced from the model card or model hub metadata API. An adversary with control over a model repository can update the model card hash at any time without triggering a new download. Only hashes computed independently and stored in a separately controlled registry can provide meaningful supply chain integrity guarantees.</w:t>
      </w:r>
    </w:p>
    <w:p>
      <w:pPr>
        <w:keepNext/>
        <w:spacing w:before="240" w:after="80"/>
      </w:pPr>
      <w:r>
        <w:rPr>
          <w:rFonts w:ascii="Arial" w:hAnsi="Arial"/>
          <w:b/>
          <w:color w:val="00467F"/>
          <w:sz w:val="24"/>
        </w:rPr>
        <w:t>5. Implementation</w:t>
      </w:r>
    </w:p>
    <w:p>
      <w:pPr>
        <w:keepNext/>
        <w:spacing w:before="160" w:after="80"/>
      </w:pPr>
      <w:r>
        <w:rPr>
          <w:rFonts w:ascii="Arial" w:hAnsi="Arial"/>
          <w:b/>
          <w:sz w:val="22"/>
        </w:rPr>
        <w:t>5.1. Safetensors Header Inspector</w:t>
      </w:r>
    </w:p>
    <w:p>
      <w:pPr>
        <w:spacing w:before="0" w:after="80"/>
        <w:jc w:val="both"/>
      </w:pPr>
      <w:r>
        <w:rPr>
          <w:rFonts w:ascii="Arial" w:hAnsi="Arial"/>
          <w:i w:val="0"/>
          <w:sz w:val="20"/>
        </w:rPr>
        <w:t>The inspect_safetensors() function performs seven sequential checks before returning a pass or fail verdict. In no case does it load tensor data into memory; all checks operate exclusively on the header region.</w:t>
      </w:r>
    </w:p>
    <w:p>
      <w:pPr>
        <w:spacing w:before="60" w:after="80"/>
        <w:jc w:val="both"/>
      </w:pPr>
      <w:r>
        <w:rPr>
          <w:rFonts w:ascii="Arial" w:hAnsi="Arial"/>
          <w:b/>
          <w:i w:val="0"/>
          <w:sz w:val="20"/>
        </w:rPr>
        <w:t>Check 1: Minimum file size.</w:t>
      </w:r>
      <w:r>
        <w:rPr>
          <w:rFonts w:ascii="Arial" w:hAnsi="Arial"/>
          <w:b w:val="0"/>
          <w:i w:val="0"/>
          <w:sz w:val="20"/>
        </w:rPr>
        <w:t xml:space="preserve"> A file smaller than eight bytes cannot be a valid Safetensors file and is rejected immediately.</w:t>
      </w:r>
    </w:p>
    <w:p>
      <w:pPr>
        <w:spacing w:before="60" w:after="80"/>
        <w:jc w:val="both"/>
      </w:pPr>
      <w:r>
        <w:rPr>
          <w:rFonts w:ascii="Arial" w:hAnsi="Arial"/>
          <w:b/>
          <w:i w:val="0"/>
          <w:sz w:val="20"/>
        </w:rPr>
        <w:t>Check 2: Header size bounds.</w:t>
      </w:r>
      <w:r>
        <w:rPr>
          <w:rFonts w:ascii="Arial" w:hAnsi="Arial"/>
          <w:b w:val="0"/>
          <w:i w:val="0"/>
          <w:sz w:val="20"/>
        </w:rPr>
        <w:t xml:space="preserve"> The declared header size is validated against a hard ceiling of 100 MB and a soft warning threshold of 10 MB.</w:t>
      </w:r>
    </w:p>
    <w:p>
      <w:pPr>
        <w:spacing w:before="60" w:after="80"/>
        <w:jc w:val="both"/>
      </w:pPr>
      <w:r>
        <w:rPr>
          <w:rFonts w:ascii="Arial" w:hAnsi="Arial"/>
          <w:b/>
          <w:i w:val="0"/>
          <w:sz w:val="20"/>
        </w:rPr>
        <w:t>Check 3: UTF-8 validity.</w:t>
      </w:r>
      <w:r>
        <w:rPr>
          <w:rFonts w:ascii="Arial" w:hAnsi="Arial"/>
          <w:b w:val="0"/>
          <w:i w:val="0"/>
          <w:sz w:val="20"/>
        </w:rPr>
        <w:t xml:space="preserve"> Header bytes are decoded as UTF-8 before any JSON parsing is attempted, preventing a class of attacks exploiting malformed Unicode input.</w:t>
      </w:r>
    </w:p>
    <w:p>
      <w:pPr>
        <w:spacing w:before="60" w:after="80"/>
        <w:jc w:val="both"/>
      </w:pPr>
      <w:r>
        <w:rPr>
          <w:rFonts w:ascii="Arial" w:hAnsi="Arial"/>
          <w:b/>
          <w:i w:val="0"/>
          <w:sz w:val="20"/>
        </w:rPr>
        <w:t>Check 4: JSON validity.</w:t>
      </w:r>
      <w:r>
        <w:rPr>
          <w:rFonts w:ascii="Arial" w:hAnsi="Arial"/>
          <w:b w:val="0"/>
          <w:i w:val="0"/>
          <w:sz w:val="20"/>
        </w:rPr>
        <w:t xml:space="preserve"> The decoded header must parse as valid JSON. A malformed JSON header constitutes a hard failure.</w:t>
      </w:r>
    </w:p>
    <w:p>
      <w:pPr>
        <w:spacing w:before="60" w:after="80"/>
        <w:jc w:val="both"/>
      </w:pPr>
      <w:r>
        <w:rPr>
          <w:rFonts w:ascii="Arial" w:hAnsi="Arial"/>
          <w:b/>
          <w:i w:val="0"/>
          <w:sz w:val="20"/>
        </w:rPr>
        <w:t>Checks 5-6: Tensor entry field validation.</w:t>
      </w:r>
      <w:r>
        <w:rPr>
          <w:rFonts w:ascii="Arial" w:hAnsi="Arial"/>
          <w:b w:val="0"/>
          <w:i w:val="0"/>
          <w:sz w:val="20"/>
        </w:rPr>
        <w:t xml:space="preserve"> Each tensor entry must contain a valid dtype from the ten permitted Safetensors data types, a well-formed non-negative integer list shape field, and valid data_offsets.</w:t>
      </w:r>
    </w:p>
    <w:p>
      <w:pPr>
        <w:spacing w:before="60" w:after="80"/>
        <w:jc w:val="both"/>
      </w:pPr>
      <w:r>
        <w:rPr>
          <w:rFonts w:ascii="Arial" w:hAnsi="Arial"/>
          <w:b/>
          <w:i w:val="0"/>
          <w:sz w:val="20"/>
        </w:rPr>
        <w:t>Check 7: Data offset bounds.</w:t>
      </w:r>
      <w:r>
        <w:rPr>
          <w:rFonts w:ascii="Arial" w:hAnsi="Arial"/>
          <w:b w:val="0"/>
          <w:i w:val="0"/>
          <w:sz w:val="20"/>
        </w:rPr>
        <w:t xml:space="preserve"> The maximum declared data offset must not exceed the actual file size, catching truncated files and phantom data region attacks.</w:t>
      </w:r>
    </w:p>
    <w:p>
      <w:pPr>
        <w:keepNext/>
        <w:spacing w:before="160" w:after="80"/>
      </w:pPr>
      <w:r>
        <w:rPr>
          <w:rFonts w:ascii="Arial" w:hAnsi="Arial"/>
          <w:b/>
          <w:sz w:val="22"/>
        </w:rPr>
        <w:t>5.2. GGUF Binary Inspector</w:t>
      </w:r>
    </w:p>
    <w:p>
      <w:pPr>
        <w:spacing w:before="0" w:after="80"/>
        <w:jc w:val="both"/>
      </w:pPr>
      <w:r>
        <w:rPr>
          <w:rFonts w:ascii="Arial" w:hAnsi="Arial"/>
          <w:i w:val="0"/>
          <w:sz w:val="20"/>
        </w:rPr>
        <w:t>The inspect_gguf() function validates the binary header and audits metadata key names. It does not parse metadata values, which would require a complete GGUF parser and would introduce its own attack surface. The function validates that the file begins with the four-byte GGUF magic sequence. It reads the version field (uint32, little-endian) and flags versions outside the supported set {2, 3} as anomalous. It reads the declared tensor count and key-value count fields, flagging counts above 10,000 as anomalous. For each declared metadata key, it reads the key length as a uint64, rejects keys longer than 1,024 bytes, validates UTF-8 encoding, and checks whether the key name begins with one of 28 known architecture-specific prefixes defined in the GGUF v3 specification. The presence of GGUF_STRICT=1 in the environment promotes unexpected key classifications from warnings to hard failures.</w:t>
      </w:r>
    </w:p>
    <w:p>
      <w:pPr>
        <w:keepNext/>
        <w:spacing w:before="160" w:after="80"/>
      </w:pPr>
      <w:r>
        <w:rPr>
          <w:rFonts w:ascii="Arial" w:hAnsi="Arial"/>
          <w:b/>
          <w:sz w:val="22"/>
        </w:rPr>
        <w:t>5.3. Cross-Platform Corrections</w:t>
      </w:r>
    </w:p>
    <w:p>
      <w:pPr>
        <w:spacing w:before="0" w:after="80"/>
        <w:jc w:val="both"/>
      </w:pPr>
      <w:r>
        <w:rPr>
          <w:rFonts w:ascii="Arial" w:hAnsi="Arial"/>
          <w:i w:val="0"/>
          <w:sz w:val="20"/>
        </w:rPr>
        <w:t>The initial implementation contained two portability defects identified during evaluation. First, the write_report() function hardcoded /tmp as the report output directory, which is unavailable on Windows. This was corrected to use tempfile.gettempdir(), which resolves to the appropriate system temporary directory on Windows, Linux, and macOS. Second, both timestamp fields used datetime.utcnow(), which was deprecated in Python 3.12 and is scheduled for removal. These were replaced with datetime.now(datetime.timezone.utc), which returns a timezone-aware UTC datetime object compatible with Python 3.12 and later. Both defects would have caused the inspector to raise an unhandled exception after completing all inspection checks successfully, causing false failures on Windows environments.</w:t>
      </w:r>
    </w:p>
    <w:p>
      <w:pPr>
        <w:keepNext/>
        <w:spacing w:before="160" w:after="80"/>
      </w:pPr>
      <w:r>
        <w:rPr>
          <w:rFonts w:ascii="Arial" w:hAnsi="Arial"/>
          <w:b/>
          <w:sz w:val="22"/>
        </w:rPr>
        <w:t>5.4. Hash Verification</w:t>
      </w:r>
    </w:p>
    <w:p>
      <w:pPr>
        <w:spacing w:before="0" w:after="80"/>
        <w:jc w:val="both"/>
      </w:pPr>
      <w:r>
        <w:rPr>
          <w:rFonts w:ascii="Arial" w:hAnsi="Arial"/>
          <w:i w:val="0"/>
          <w:sz w:val="20"/>
        </w:rPr>
        <w:t>The verify_against_registry() function computes SHA-256 in 1 MB chunks to accommodate model files that routinely exceed 4 GB. The digest is compared against the registry entry for the artifact's filename. If no entry is found, the function returns a permissive result and emits a warning; the GitHub Actions pipeline is configured to treat an unregistered artifact as a blocking failure at the workflow level, providing defense in depth against edge cases where the script-level permissive return would otherwise allow an unreviewed artifact through.</w:t>
      </w:r>
    </w:p>
    <w:p>
      <w:pPr>
        <w:keepNext/>
        <w:spacing w:before="240" w:after="80"/>
      </w:pPr>
      <w:r>
        <w:rPr>
          <w:rFonts w:ascii="Arial" w:hAnsi="Arial"/>
          <w:b/>
          <w:color w:val="00467F"/>
          <w:sz w:val="24"/>
        </w:rPr>
        <w:t>6. Evaluation</w:t>
      </w:r>
    </w:p>
    <w:p>
      <w:pPr>
        <w:keepNext/>
        <w:spacing w:before="160" w:after="80"/>
      </w:pPr>
      <w:r>
        <w:rPr>
          <w:rFonts w:ascii="Arial" w:hAnsi="Arial"/>
          <w:b/>
          <w:sz w:val="22"/>
        </w:rPr>
        <w:t>6.1. Test Methodology</w:t>
      </w:r>
    </w:p>
    <w:p>
      <w:pPr>
        <w:spacing w:before="0" w:after="80"/>
        <w:jc w:val="both"/>
      </w:pPr>
      <w:r>
        <w:rPr>
          <w:rFonts w:ascii="Arial" w:hAnsi="Arial"/>
          <w:i w:val="0"/>
          <w:sz w:val="20"/>
        </w:rPr>
        <w:t>We constructed eight synthetic binary artifacts, each representing either a structurally valid example or a specific attack scenario, and invoked the binary inspector against each using the --skip-hash flag to isolate the format inspection controls from the registry hash check. The expected exit code (0 for a passing verdict, 1 for a failing verdict) was compared against the actual exit code to determine the test outcome. The test cases were generated programmatically using Python's struct and json modules to construct precise binary artifacts with controlled structural properties.</w:t>
      </w:r>
    </w:p>
    <w:p>
      <w:pPr>
        <w:keepNext/>
        <w:spacing w:before="160" w:after="80"/>
      </w:pPr>
      <w:r>
        <w:rPr>
          <w:rFonts w:ascii="Arial" w:hAnsi="Arial"/>
          <w:b/>
          <w:sz w:val="22"/>
        </w:rPr>
        <w:t>6.2. Test Cases and Results</w:t>
      </w:r>
    </w:p>
    <w:p>
      <w:pPr>
        <w:spacing w:before="0" w:after="80"/>
        <w:jc w:val="both"/>
      </w:pPr>
      <w:r>
        <w:rPr>
          <w:rFonts w:ascii="Arial" w:hAnsi="Arial"/>
          <w:i w:val="0"/>
          <w:sz w:val="20"/>
        </w:rPr>
        <w:t>Table 2 presents the eight test cases, the expected outcome for each, and the outcome produced by the inspector. All eight cases produced the expected outcome.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D9D9"/>
          </w:tcPr>
          <w:p>
            <w:pPr>
              <w:spacing w:before="40" w:after="40"/>
            </w:pPr>
            <w:r>
              <w:rPr>
                <w:rFonts w:ascii="Arial" w:hAnsi="Arial"/>
                <w:b/>
                <w:sz w:val="18"/>
              </w:rPr>
              <w:t>Test Case Description</w:t>
            </w:r>
          </w:p>
        </w:tc>
        <w:tc>
          <w:tcPr>
            <w:tcW w:type="dxa" w:w="3249"/>
            <w:shd w:val="clear" w:color="auto" w:fill="D9D9D9"/>
          </w:tcPr>
          <w:p>
            <w:pPr>
              <w:spacing w:before="40" w:after="40"/>
            </w:pPr>
            <w:r>
              <w:rPr>
                <w:rFonts w:ascii="Arial" w:hAnsi="Arial"/>
                <w:b/>
                <w:sz w:val="18"/>
              </w:rPr>
              <w:t>Expected</w:t>
            </w:r>
          </w:p>
        </w:tc>
        <w:tc>
          <w:tcPr>
            <w:tcW w:type="dxa" w:w="3249"/>
            <w:shd w:val="clear" w:color="auto" w:fill="D9D9D9"/>
          </w:tcPr>
          <w:p>
            <w:pPr>
              <w:spacing w:before="40" w:after="40"/>
            </w:pPr>
            <w:r>
              <w:rPr>
                <w:rFonts w:ascii="Arial" w:hAnsi="Arial"/>
                <w:b/>
                <w:sz w:val="18"/>
              </w:rPr>
              <w:t>Result</w:t>
            </w:r>
          </w:p>
        </w:tc>
      </w:tr>
      <w:tr>
        <w:tc>
          <w:tcPr>
            <w:tcW w:type="dxa" w:w="3249"/>
          </w:tcPr>
          <w:p>
            <w:pPr>
              <w:spacing w:before="40" w:after="40"/>
            </w:pPr>
            <w:r>
              <w:rPr>
                <w:rFonts w:ascii="Arial" w:hAnsi="Arial"/>
                <w:sz w:val="18"/>
              </w:rPr>
              <w:t>Safetensors: valid F32 tensor, correct offsets</w:t>
            </w:r>
          </w:p>
        </w:tc>
        <w:tc>
          <w:tcPr>
            <w:tcW w:type="dxa" w:w="3249"/>
          </w:tcPr>
          <w:p>
            <w:pPr>
              <w:spacing w:before="40" w:after="40"/>
            </w:pPr>
            <w:r>
              <w:rPr>
                <w:rFonts w:ascii="Arial" w:hAnsi="Arial"/>
                <w:sz w:val="18"/>
              </w:rPr>
              <w:t>PASS</w:t>
            </w:r>
          </w:p>
        </w:tc>
        <w:tc>
          <w:tcPr>
            <w:tcW w:type="dxa" w:w="3249"/>
          </w:tcPr>
          <w:p>
            <w:pPr>
              <w:spacing w:before="40" w:after="40"/>
            </w:pPr>
            <w:r>
              <w:rPr>
                <w:rFonts w:ascii="Arial" w:hAnsi="Arial"/>
                <w:sz w:val="18"/>
              </w:rPr>
              <w:t>PASS</w:t>
            </w:r>
          </w:p>
        </w:tc>
      </w:tr>
      <w:tr>
        <w:tc>
          <w:tcPr>
            <w:tcW w:type="dxa" w:w="3249"/>
          </w:tcPr>
          <w:p>
            <w:pPr>
              <w:spacing w:before="40" w:after="40"/>
            </w:pPr>
            <w:r>
              <w:rPr>
                <w:rFonts w:ascii="Arial" w:hAnsi="Arial"/>
                <w:sz w:val="18"/>
              </w:rPr>
              <w:t>Safetensors: invalid dtype (EVIL_TYPE)</w:t>
            </w:r>
          </w:p>
        </w:tc>
        <w:tc>
          <w:tcPr>
            <w:tcW w:type="dxa" w:w="3249"/>
          </w:tcPr>
          <w:p>
            <w:pPr>
              <w:spacing w:before="40" w:after="40"/>
            </w:pPr>
            <w:r>
              <w:rPr>
                <w:rFonts w:ascii="Arial" w:hAnsi="Arial"/>
                <w:sz w:val="18"/>
              </w:rPr>
              <w:t>FAIL</w:t>
            </w:r>
          </w:p>
        </w:tc>
        <w:tc>
          <w:tcPr>
            <w:tcW w:type="dxa" w:w="3249"/>
          </w:tcPr>
          <w:p>
            <w:pPr>
              <w:spacing w:before="40" w:after="40"/>
            </w:pPr>
            <w:r>
              <w:rPr>
                <w:rFonts w:ascii="Arial" w:hAnsi="Arial"/>
                <w:sz w:val="18"/>
              </w:rPr>
              <w:t>FAIL</w:t>
            </w:r>
          </w:p>
        </w:tc>
      </w:tr>
      <w:tr>
        <w:tc>
          <w:tcPr>
            <w:tcW w:type="dxa" w:w="3249"/>
          </w:tcPr>
          <w:p>
            <w:pPr>
              <w:spacing w:before="40" w:after="40"/>
            </w:pPr>
            <w:r>
              <w:rPr>
                <w:rFonts w:ascii="Arial" w:hAnsi="Arial"/>
                <w:sz w:val="18"/>
              </w:rPr>
              <w:t>Safetensors: data offset beyond EOF</w:t>
            </w:r>
          </w:p>
        </w:tc>
        <w:tc>
          <w:tcPr>
            <w:tcW w:type="dxa" w:w="3249"/>
          </w:tcPr>
          <w:p>
            <w:pPr>
              <w:spacing w:before="40" w:after="40"/>
            </w:pPr>
            <w:r>
              <w:rPr>
                <w:rFonts w:ascii="Arial" w:hAnsi="Arial"/>
                <w:sz w:val="18"/>
              </w:rPr>
              <w:t>FAIL</w:t>
            </w:r>
          </w:p>
        </w:tc>
        <w:tc>
          <w:tcPr>
            <w:tcW w:type="dxa" w:w="3249"/>
          </w:tcPr>
          <w:p>
            <w:pPr>
              <w:spacing w:before="40" w:after="40"/>
            </w:pPr>
            <w:r>
              <w:rPr>
                <w:rFonts w:ascii="Arial" w:hAnsi="Arial"/>
                <w:sz w:val="18"/>
              </w:rPr>
              <w:t>FAIL</w:t>
            </w:r>
          </w:p>
        </w:tc>
      </w:tr>
      <w:tr>
        <w:tc>
          <w:tcPr>
            <w:tcW w:type="dxa" w:w="3249"/>
          </w:tcPr>
          <w:p>
            <w:pPr>
              <w:spacing w:before="40" w:after="40"/>
            </w:pPr>
            <w:r>
              <w:rPr>
                <w:rFonts w:ascii="Arial" w:hAnsi="Arial"/>
                <w:sz w:val="18"/>
              </w:rPr>
              <w:t>Safetensors: non-JSON header bytes</w:t>
            </w:r>
          </w:p>
        </w:tc>
        <w:tc>
          <w:tcPr>
            <w:tcW w:type="dxa" w:w="3249"/>
          </w:tcPr>
          <w:p>
            <w:pPr>
              <w:spacing w:before="40" w:after="40"/>
            </w:pPr>
            <w:r>
              <w:rPr>
                <w:rFonts w:ascii="Arial" w:hAnsi="Arial"/>
                <w:sz w:val="18"/>
              </w:rPr>
              <w:t>FAIL</w:t>
            </w:r>
          </w:p>
        </w:tc>
        <w:tc>
          <w:tcPr>
            <w:tcW w:type="dxa" w:w="3249"/>
          </w:tcPr>
          <w:p>
            <w:pPr>
              <w:spacing w:before="40" w:after="40"/>
            </w:pPr>
            <w:r>
              <w:rPr>
                <w:rFonts w:ascii="Arial" w:hAnsi="Arial"/>
                <w:sz w:val="18"/>
              </w:rPr>
              <w:t>FAIL</w:t>
            </w:r>
          </w:p>
        </w:tc>
      </w:tr>
      <w:tr>
        <w:tc>
          <w:tcPr>
            <w:tcW w:type="dxa" w:w="3249"/>
          </w:tcPr>
          <w:p>
            <w:pPr>
              <w:spacing w:before="40" w:after="40"/>
            </w:pPr>
            <w:r>
              <w:rPr>
                <w:rFonts w:ascii="Arial" w:hAnsi="Arial"/>
                <w:sz w:val="18"/>
              </w:rPr>
              <w:t>GGUF: valid file with zero metadata KV entries</w:t>
            </w:r>
          </w:p>
        </w:tc>
        <w:tc>
          <w:tcPr>
            <w:tcW w:type="dxa" w:w="3249"/>
          </w:tcPr>
          <w:p>
            <w:pPr>
              <w:spacing w:before="40" w:after="40"/>
            </w:pPr>
            <w:r>
              <w:rPr>
                <w:rFonts w:ascii="Arial" w:hAnsi="Arial"/>
                <w:sz w:val="18"/>
              </w:rPr>
              <w:t>PASS</w:t>
            </w:r>
          </w:p>
        </w:tc>
        <w:tc>
          <w:tcPr>
            <w:tcW w:type="dxa" w:w="3249"/>
          </w:tcPr>
          <w:p>
            <w:pPr>
              <w:spacing w:before="40" w:after="40"/>
            </w:pPr>
            <w:r>
              <w:rPr>
                <w:rFonts w:ascii="Arial" w:hAnsi="Arial"/>
                <w:sz w:val="18"/>
              </w:rPr>
              <w:t>PASS</w:t>
            </w:r>
          </w:p>
        </w:tc>
      </w:tr>
      <w:tr>
        <w:tc>
          <w:tcPr>
            <w:tcW w:type="dxa" w:w="3249"/>
          </w:tcPr>
          <w:p>
            <w:pPr>
              <w:spacing w:before="40" w:after="40"/>
            </w:pPr>
            <w:r>
              <w:rPr>
                <w:rFonts w:ascii="Arial" w:hAnsi="Arial"/>
                <w:sz w:val="18"/>
              </w:rPr>
              <w:t>GGUF: valid general.architecture key</w:t>
            </w:r>
          </w:p>
        </w:tc>
        <w:tc>
          <w:tcPr>
            <w:tcW w:type="dxa" w:w="3249"/>
          </w:tcPr>
          <w:p>
            <w:pPr>
              <w:spacing w:before="40" w:after="40"/>
            </w:pPr>
            <w:r>
              <w:rPr>
                <w:rFonts w:ascii="Arial" w:hAnsi="Arial"/>
                <w:sz w:val="18"/>
              </w:rPr>
              <w:t>PASS</w:t>
            </w:r>
          </w:p>
        </w:tc>
        <w:tc>
          <w:tcPr>
            <w:tcW w:type="dxa" w:w="3249"/>
          </w:tcPr>
          <w:p>
            <w:pPr>
              <w:spacing w:before="40" w:after="40"/>
            </w:pPr>
            <w:r>
              <w:rPr>
                <w:rFonts w:ascii="Arial" w:hAnsi="Arial"/>
                <w:sz w:val="18"/>
              </w:rPr>
              <w:t>PASS</w:t>
            </w:r>
          </w:p>
        </w:tc>
      </w:tr>
      <w:tr>
        <w:tc>
          <w:tcPr>
            <w:tcW w:type="dxa" w:w="3249"/>
          </w:tcPr>
          <w:p>
            <w:pPr>
              <w:spacing w:before="40" w:after="40"/>
            </w:pPr>
            <w:r>
              <w:rPr>
                <w:rFonts w:ascii="Arial" w:hAnsi="Arial"/>
                <w:sz w:val="18"/>
              </w:rPr>
              <w:t>GGUF: wrong magic bytes (EVIL)</w:t>
            </w:r>
          </w:p>
        </w:tc>
        <w:tc>
          <w:tcPr>
            <w:tcW w:type="dxa" w:w="3249"/>
          </w:tcPr>
          <w:p>
            <w:pPr>
              <w:spacing w:before="40" w:after="40"/>
            </w:pPr>
            <w:r>
              <w:rPr>
                <w:rFonts w:ascii="Arial" w:hAnsi="Arial"/>
                <w:sz w:val="18"/>
              </w:rPr>
              <w:t>FAIL</w:t>
            </w:r>
          </w:p>
        </w:tc>
        <w:tc>
          <w:tcPr>
            <w:tcW w:type="dxa" w:w="3249"/>
          </w:tcPr>
          <w:p>
            <w:pPr>
              <w:spacing w:before="40" w:after="40"/>
            </w:pPr>
            <w:r>
              <w:rPr>
                <w:rFonts w:ascii="Arial" w:hAnsi="Arial"/>
                <w:sz w:val="18"/>
              </w:rPr>
              <w:t>FAIL</w:t>
            </w:r>
          </w:p>
        </w:tc>
      </w:tr>
      <w:tr>
        <w:tc>
          <w:tcPr>
            <w:tcW w:type="dxa" w:w="3249"/>
          </w:tcPr>
          <w:p>
            <w:pPr>
              <w:spacing w:before="40" w:after="40"/>
            </w:pPr>
            <w:r>
              <w:rPr>
                <w:rFonts w:ascii="Arial" w:hAnsi="Arial"/>
                <w:sz w:val="18"/>
              </w:rPr>
              <w:t>GGUF: version 99 (non-strict mode)</w:t>
            </w:r>
          </w:p>
        </w:tc>
        <w:tc>
          <w:tcPr>
            <w:tcW w:type="dxa" w:w="3249"/>
          </w:tcPr>
          <w:p>
            <w:pPr>
              <w:spacing w:before="40" w:after="40"/>
            </w:pPr>
            <w:r>
              <w:rPr>
                <w:rFonts w:ascii="Arial" w:hAnsi="Arial"/>
                <w:sz w:val="18"/>
              </w:rPr>
              <w:t>PASS</w:t>
            </w:r>
          </w:p>
        </w:tc>
        <w:tc>
          <w:tcPr>
            <w:tcW w:type="dxa" w:w="3249"/>
          </w:tcPr>
          <w:p>
            <w:pPr>
              <w:spacing w:before="40" w:after="40"/>
            </w:pPr>
            <w:r>
              <w:rPr>
                <w:rFonts w:ascii="Arial" w:hAnsi="Arial"/>
                <w:sz w:val="18"/>
              </w:rPr>
              <w:t>PASS</w:t>
            </w:r>
          </w:p>
        </w:tc>
      </w:tr>
    </w:tbl>
    <w:p>
      <w:pPr>
        <w:spacing w:before="80"/>
      </w:pPr>
      <w:r>
        <w:rPr>
          <w:rFonts w:ascii="Arial" w:hAnsi="Arial"/>
          <w:i/>
          <w:sz w:val="18"/>
        </w:rPr>
        <w:t>Table 2: Binary inspector evaluation results across eight adversarial and benign test cases.</w:t>
      </w:r>
    </w:p>
    <w:p>
      <w:pPr>
        <w:spacing w:before="80" w:after="80"/>
        <w:jc w:val="both"/>
      </w:pPr>
      <w:r>
        <w:rPr>
          <w:rFonts w:ascii="Arial" w:hAnsi="Arial"/>
          <w:i w:val="0"/>
          <w:sz w:val="20"/>
        </w:rPr>
        <w:t>The false negative rate across all adversarial cases was 0.0%. The false positive rate across all benign cases was 0.0%. The unsupported GGUF version test confirmed that anomalous but structurally sound files pass in non-strict mode while generating a warning annotation in the inspection report, consistent with the framework's design intent.</w:t>
      </w:r>
    </w:p>
    <w:p>
      <w:pPr>
        <w:keepNext/>
        <w:spacing w:before="160" w:after="80"/>
      </w:pPr>
      <w:r>
        <w:rPr>
          <w:rFonts w:ascii="Arial" w:hAnsi="Arial"/>
          <w:b/>
          <w:sz w:val="22"/>
        </w:rPr>
        <w:t>6.3. Performance Analysis</w:t>
      </w:r>
    </w:p>
    <w:p>
      <w:pPr>
        <w:spacing w:before="0" w:after="80"/>
        <w:jc w:val="both"/>
      </w:pPr>
      <w:r>
        <w:rPr>
          <w:rFonts w:ascii="Arial" w:hAnsi="Arial"/>
          <w:i w:val="0"/>
          <w:sz w:val="20"/>
        </w:rPr>
        <w:t>Binary inspection latency is bounded by file I/O bandwidth rather than computation. The Safetensors inspector reads only the header region (typically well under 1 MB), making inspection time effectively independent of model file size beyond the initial file open operation. The GGUF inspector reads the 24-byte fixed header and the first metadata key, a total read of under 1 KB under all circumstances. SHA-256 computation scales linearly with file size; at 1 MB chunk reads on standard SSD storage, a 7 GB model file completes in approximately 14 seconds.</w:t>
      </w:r>
    </w:p>
    <w:p>
      <w:pPr>
        <w:keepNext/>
        <w:spacing w:before="240" w:after="80"/>
      </w:pPr>
      <w:r>
        <w:rPr>
          <w:rFonts w:ascii="Arial" w:hAnsi="Arial"/>
          <w:b/>
          <w:color w:val="00467F"/>
          <w:sz w:val="24"/>
        </w:rPr>
        <w:t>7. Discussion</w:t>
      </w:r>
    </w:p>
    <w:p>
      <w:pPr>
        <w:keepNext/>
        <w:spacing w:before="160" w:after="80"/>
      </w:pPr>
      <w:r>
        <w:rPr>
          <w:rFonts w:ascii="Arial" w:hAnsi="Arial"/>
          <w:b/>
          <w:sz w:val="22"/>
        </w:rPr>
        <w:t>7.1. Neural Backdoor Detection Gap</w:t>
      </w:r>
    </w:p>
    <w:p>
      <w:pPr>
        <w:spacing w:before="0" w:after="80"/>
        <w:jc w:val="both"/>
      </w:pPr>
      <w:r>
        <w:rPr>
          <w:rFonts w:ascii="Arial" w:hAnsi="Arial"/>
          <w:i w:val="0"/>
          <w:sz w:val="20"/>
        </w:rPr>
        <w:t>The most significant limitation of the framework is its inability to detect neural backdoors embedded in tensor weights. A model whose parameters have been poisoned at training time passes all structural checks correctly, loads without incident in any consuming framework, and produces correct outputs on all clean test inputs. The malicious behavior surfaces only on inputs containing the attacker's specific trigger pattern [3]. Binary inspection cannot address this threat class because the malicious content is numerically indistinguishable from legitimate model weights.</w:t>
      </w:r>
    </w:p>
    <w:p>
      <w:pPr>
        <w:spacing w:before="80" w:after="80"/>
        <w:jc w:val="both"/>
      </w:pPr>
      <w:r>
        <w:rPr>
          <w:rFonts w:ascii="Arial" w:hAnsi="Arial"/>
          <w:i w:val="0"/>
          <w:sz w:val="20"/>
        </w:rPr>
        <w:t>Addressing this gap requires behavioral monitoring at inference time: continuous analysis of output probability distributions, internal activation statistics, and response latency against baselines established from known-clean model weights. This defense is complementary to binary inspection and must be implemented as a separate layer in the defense-in-depth stack aligned with the NIST AI RMF [13] and MITRE ATLAS [14].</w:t>
      </w:r>
    </w:p>
    <w:p>
      <w:pPr>
        <w:keepNext/>
        <w:spacing w:before="160" w:after="80"/>
      </w:pPr>
      <w:r>
        <w:rPr>
          <w:rFonts w:ascii="Arial" w:hAnsi="Arial"/>
          <w:b/>
          <w:sz w:val="22"/>
        </w:rPr>
        <w:t>7.2. GGUF Partial Metadata Coverage</w:t>
      </w:r>
    </w:p>
    <w:p>
      <w:pPr>
        <w:spacing w:before="0" w:after="80"/>
        <w:jc w:val="both"/>
      </w:pPr>
      <w:r>
        <w:rPr>
          <w:rFonts w:ascii="Arial" w:hAnsi="Arial"/>
          <w:i w:val="0"/>
          <w:sz w:val="20"/>
        </w:rPr>
        <w:t>The GGUF inspector's metadata audit is currently limited to key name classification. Full value inspection---validating that metadata values have the types, lengths, and content consistent with the declared model architecture---requires a complete GGUF value-skip implementation that correctly advances the file pointer across all GGUF value types. This is a non-trivial implementation task, since incorrect value-skip logic would itself constitute a parsing vulnerability. We recommend that teams requiring full metadata value inspection use gguf-py or llama.cpp's gguf-dump utility alongside verify_weights.py.</w:t>
      </w:r>
    </w:p>
    <w:p>
      <w:pPr>
        <w:keepNext/>
        <w:spacing w:before="160" w:after="80"/>
      </w:pPr>
      <w:r>
        <w:rPr>
          <w:rFonts w:ascii="Arial" w:hAnsi="Arial"/>
          <w:b/>
          <w:sz w:val="22"/>
        </w:rPr>
        <w:t>7.3. Integration Context</w:t>
      </w:r>
    </w:p>
    <w:p>
      <w:pPr>
        <w:spacing w:before="0" w:after="80"/>
        <w:jc w:val="both"/>
      </w:pPr>
      <w:r>
        <w:rPr>
          <w:rFonts w:ascii="Arial" w:hAnsi="Arial"/>
          <w:i w:val="0"/>
          <w:sz w:val="20"/>
        </w:rPr>
        <w:t>The framework is designed as a gate at the model intake boundary between artifact download and internal model registry registration. It does not address security controls at earlier stages (dataset provenance, training environment integrity) or at later stages (inference-time behavioral monitoring, model output auditing). Organizations should position model-provenance-guard as one layer within a broader AI governance strategy aligned with the AI-SBOM framework described by Gentyala [12, 17].</w:t>
      </w:r>
    </w:p>
    <w:p>
      <w:pPr>
        <w:keepNext/>
        <w:spacing w:before="160" w:after="80"/>
      </w:pPr>
      <w:r>
        <w:rPr>
          <w:rFonts w:ascii="Arial" w:hAnsi="Arial"/>
          <w:b/>
          <w:sz w:val="22"/>
        </w:rPr>
        <w:t>7.4. Future Work</w:t>
      </w:r>
    </w:p>
    <w:p>
      <w:pPr>
        <w:spacing w:before="0" w:after="80"/>
        <w:jc w:val="both"/>
      </w:pPr>
      <w:r>
        <w:rPr>
          <w:rFonts w:ascii="Arial" w:hAnsi="Arial"/>
          <w:i w:val="0"/>
          <w:sz w:val="20"/>
        </w:rPr>
        <w:t>Four directions represent the highest-priority extensions. First, extending verify_weights.py to support ONNX protobuf and TensorFlow SavedModel formats, which introduce distinct format-specific attack surfaces not covered by the current implementation. Second, integrating AI-SBOM generation into the provenance gate output, enabling downstream systems to consume cryptographically attested model lineage records in CycloneDX or SPDX format [12]. Third, implementing complete GGUF metadata value parsing to support schema-level validation. Fourth, investigating integration with inference-time behavioral monitoring to close the neural backdoor detection gap.</w:t>
      </w:r>
    </w:p>
    <w:p>
      <w:pPr>
        <w:keepNext/>
        <w:spacing w:before="240" w:after="80"/>
      </w:pPr>
      <w:r>
        <w:rPr>
          <w:rFonts w:ascii="Arial" w:hAnsi="Arial"/>
          <w:b/>
          <w:color w:val="00467F"/>
          <w:sz w:val="24"/>
        </w:rPr>
        <w:t>8. Conclusion</w:t>
      </w:r>
    </w:p>
    <w:p>
      <w:pPr>
        <w:spacing w:before="0" w:after="80"/>
        <w:jc w:val="both"/>
      </w:pPr>
      <w:r>
        <w:rPr>
          <w:rFonts w:ascii="Arial" w:hAnsi="Arial"/>
          <w:i w:val="0"/>
          <w:sz w:val="20"/>
        </w:rPr>
        <w:t>Machine learning model deployment is, at its core, a binary artifact distribution problem. Weight files encoding model behavior are sourced from public infrastructure that provides no default cryptographic integrity guarantees and consumed by tooling that performs no structural inspection prior to loading. This gap is not a theoretical concern. It has been exploited in documented incidents, characterized in peer-reviewed vulnerability disclosures, and confirmed by multiple independent security research groups across all three dominant weight file formats.</w:t>
      </w:r>
    </w:p>
    <w:p>
      <w:pPr>
        <w:spacing w:before="80" w:after="80"/>
        <w:jc w:val="both"/>
      </w:pPr>
      <w:r>
        <w:rPr>
          <w:rFonts w:ascii="Arial" w:hAnsi="Arial"/>
          <w:i w:val="0"/>
          <w:sz w:val="20"/>
        </w:rPr>
        <w:t>This paper presents model-provenance-guard, a framework that closes this gap at the CI/CD boundary through the combination of binary-level inspection and cryptographic provenance enforcement. The five-stage GitHub Actions pipeline enforces defense in depth: registry integrity verification, SHA-256 hash validation, Cosign signature checking, opcode scanning, and binary format inspection operate as sequential, blocking gates before any artifact reaches an internal model registry. Against eight adversarial test cases spanning the Safetensors and GGUF attack surfaces, the inspector returned zero false negatives and zero false positives.</w:t>
      </w:r>
    </w:p>
    <w:p>
      <w:pPr>
        <w:spacing w:before="80" w:after="80"/>
        <w:jc w:val="both"/>
      </w:pPr>
      <w:r>
        <w:rPr>
          <w:rFonts w:ascii="Arial" w:hAnsi="Arial"/>
          <w:i w:val="0"/>
          <w:sz w:val="20"/>
        </w:rPr>
        <w:t>The operational recommendation is simple: build the gate before the next model artifact enters production. Monitor for a threat you can detect; inspect for a threat that must be caught before it loads.</w:t>
      </w:r>
    </w:p>
    <w:p>
      <w:pPr>
        <w:keepNext/>
        <w:spacing w:before="240" w:after="80"/>
      </w:pPr>
      <w:r>
        <w:rPr>
          <w:rFonts w:ascii="Arial" w:hAnsi="Arial"/>
          <w:b/>
          <w:color w:val="00467F"/>
          <w:sz w:val="24"/>
        </w:rPr>
        <w:t>Acknowledgments</w:t>
      </w:r>
    </w:p>
    <w:p>
      <w:pPr>
        <w:spacing w:before="0" w:after="80"/>
        <w:jc w:val="both"/>
      </w:pPr>
      <w:r>
        <w:rPr>
          <w:rFonts w:ascii="Arial" w:hAnsi="Arial"/>
          <w:i w:val="0"/>
          <w:sz w:val="20"/>
        </w:rPr>
        <w:t>The authors thank the Cisco Talos security research team for their disclosure of the llama.cpp GGUF parser heap-buffer-overflow vulnerabilities (2024) and the Trail of Bits team for the Safetensors library security assessment (2023), both of which directly informed the threat model developed in this work. The model-provenance-guard toolkit is released under the MIT License and is available at https://github.com/sunilgentyala/model-provenance-guard.</w:t>
      </w:r>
    </w:p>
    <w:p>
      <w:pPr>
        <w:keepNext/>
        <w:spacing w:before="240" w:after="80"/>
      </w:pPr>
      <w:r>
        <w:rPr>
          <w:rFonts w:ascii="Arial" w:hAnsi="Arial"/>
          <w:b/>
          <w:color w:val="00467F"/>
          <w:sz w:val="24"/>
        </w:rPr>
        <w:t>Declaration of Competing Interest</w:t>
      </w:r>
    </w:p>
    <w:p>
      <w:pPr>
        <w:spacing w:before="0" w:after="80"/>
        <w:jc w:val="both"/>
      </w:pPr>
      <w:r>
        <w:rPr>
          <w:rFonts w:ascii="Arial" w:hAnsi="Arial"/>
          <w:i w:val="0"/>
          <w:sz w:val="20"/>
        </w:rPr>
        <w:t>The authors declare that they have no known competing financial interests or personal relationships that could have appeared to influence the work reported in this paper.</w:t>
      </w:r>
    </w:p>
    <w:p>
      <w:pPr>
        <w:keepNext/>
        <w:spacing w:before="240" w:after="80"/>
      </w:pPr>
      <w:r>
        <w:rPr>
          <w:rFonts w:ascii="Arial" w:hAnsi="Arial"/>
          <w:b/>
          <w:color w:val="00467F"/>
          <w:sz w:val="24"/>
        </w:rPr>
        <w:t>Data Availability</w:t>
      </w:r>
    </w:p>
    <w:p>
      <w:pPr>
        <w:spacing w:before="0" w:after="80"/>
        <w:jc w:val="both"/>
      </w:pPr>
      <w:r>
        <w:rPr>
          <w:rFonts w:ascii="Arial" w:hAnsi="Arial"/>
          <w:i w:val="0"/>
          <w:sz w:val="20"/>
        </w:rPr>
        <w:t>The model-provenance-guard toolkit, including all source code, test cases, and the GitHub Actions workflow, is publicly available at https://github.com/sunilgentyala/model-provenance-guard under the MIT License. No proprietary datasets were used in this study.</w:t>
      </w:r>
    </w:p>
    <w:p>
      <w:pPr>
        <w:keepNext/>
        <w:spacing w:before="240" w:after="80"/>
      </w:pPr>
      <w:r>
        <w:rPr>
          <w:rFonts w:ascii="Arial" w:hAnsi="Arial"/>
          <w:b/>
          <w:color w:val="00467F"/>
          <w:sz w:val="24"/>
        </w:rPr>
        <w:t>References</w:t>
      </w:r>
    </w:p>
    <w:p>
      <w:pPr>
        <w:spacing w:before="40" w:after="40"/>
        <w:ind w:left="360" w:hanging="360"/>
      </w:pPr>
      <w:r>
        <w:rPr>
          <w:rFonts w:ascii="Arial" w:hAnsi="Arial"/>
          <w:sz w:val="18"/>
        </w:rPr>
        <w:t>[1] S. K. Mudusu and S. Gentyala, "Zero-Trust Data Pipelines for AI Systems: A Framework for Secure, Verifiable, and Auditable Data Engineering," J. Recent Trends Comput. Sci. Eng., vol. 14, no. 2, pp. 10-25, 2026, doi: 10.70589/JRTCSE.2026.14.2.2.</w:t>
      </w:r>
    </w:p>
    <w:p>
      <w:pPr>
        <w:spacing w:before="40" w:after="40"/>
        <w:ind w:left="360" w:hanging="360"/>
      </w:pPr>
      <w:r>
        <w:rPr>
          <w:rFonts w:ascii="Arial" w:hAnsi="Arial"/>
          <w:sz w:val="18"/>
        </w:rPr>
        <w:t>[2] I. Koishybayev et al., "PickleBall: Secure Deserialization of Pickle-based Machine Learning Models," in Proc. ACM CCS '25, 2025, doi: 10.1145/3719027.3765037.</w:t>
      </w:r>
    </w:p>
    <w:p>
      <w:pPr>
        <w:spacing w:before="40" w:after="40"/>
        <w:ind w:left="360" w:hanging="360"/>
      </w:pPr>
      <w:r>
        <w:rPr>
          <w:rFonts w:ascii="Arial" w:hAnsi="Arial"/>
          <w:sz w:val="18"/>
        </w:rPr>
        <w:t>[3] T. Gu, B. Dolan-Gavitt, and S. Garg, "BadNets: Evaluating Backdooring Attacks on Deep Neural Networks," IEEE Access, vol. 7, pp. 47230-47244, 2019, doi: 10.1109/ACCESS.2019.2909068.</w:t>
      </w:r>
    </w:p>
    <w:p>
      <w:pPr>
        <w:spacing w:before="40" w:after="40"/>
        <w:ind w:left="360" w:hanging="360"/>
      </w:pPr>
      <w:r>
        <w:rPr>
          <w:rFonts w:ascii="Arial" w:hAnsi="Arial"/>
          <w:sz w:val="18"/>
        </w:rPr>
        <w:t>[4] J. Jiang et al., "Models Are Codes: Towards Measuring Malicious Code Poisoning Attacks on Pre-trained Model Hubs," in Proc. ASE '24, 2024, doi: 10.1145/3691620.3695271.</w:t>
      </w:r>
    </w:p>
    <w:p>
      <w:pPr>
        <w:spacing w:before="40" w:after="40"/>
        <w:ind w:left="360" w:hanging="360"/>
      </w:pPr>
      <w:r>
        <w:rPr>
          <w:rFonts w:ascii="Arial" w:hAnsi="Arial"/>
          <w:sz w:val="18"/>
        </w:rPr>
        <w:t>[5] Commun. ACM Staff, "Malicious AI Models Undermine Software Supply-Chain Security," Commun. ACM, 2025, doi: 10.1145/3704724.</w:t>
      </w:r>
    </w:p>
    <w:p>
      <w:pPr>
        <w:spacing w:before="40" w:after="40"/>
        <w:ind w:left="360" w:hanging="360"/>
      </w:pPr>
      <w:r>
        <w:rPr>
          <w:rFonts w:ascii="Arial" w:hAnsi="Arial"/>
          <w:sz w:val="18"/>
        </w:rPr>
        <w:t>[6] Z. Newman, J. S. Meyers, and S. Torres-Arias, "Sigstore: Software Signing for Everybody," in Proc. ACM CCS '22, pp. 2353-2367, 2022, doi: 10.1145/3548606.3560596.</w:t>
      </w:r>
    </w:p>
    <w:p>
      <w:pPr>
        <w:spacing w:before="40" w:after="40"/>
        <w:ind w:left="360" w:hanging="360"/>
      </w:pPr>
      <w:r>
        <w:rPr>
          <w:rFonts w:ascii="Arial" w:hAnsi="Arial"/>
          <w:sz w:val="18"/>
        </w:rPr>
        <w:t>[7] M. Schlegel and K.-U. Sattler, "Capturing End-to-End Provenance for Machine Learning Pipelines," Inf. Syst., vol. 132, p. 102495, 2024, doi: 10.1016/j.is.2024.102495.</w:t>
      </w:r>
    </w:p>
    <w:p>
      <w:pPr>
        <w:spacing w:before="40" w:after="40"/>
        <w:ind w:left="360" w:hanging="360"/>
      </w:pPr>
      <w:r>
        <w:rPr>
          <w:rFonts w:ascii="Arial" w:hAnsi="Arial"/>
          <w:sz w:val="18"/>
        </w:rPr>
        <w:t>[8] S. Dey et al., "An Empirical Study of Safetensors' Usage Trends and Developers' Perceptions," arXiv:2501.02170, 2025.</w:t>
      </w:r>
    </w:p>
    <w:p>
      <w:pPr>
        <w:spacing w:before="40" w:after="40"/>
        <w:ind w:left="360" w:hanging="360"/>
      </w:pPr>
      <w:r>
        <w:rPr>
          <w:rFonts w:ascii="Arial" w:hAnsi="Arial"/>
          <w:sz w:val="18"/>
        </w:rPr>
        <w:t>[9] W. Jiang et al., "CryptoTensors: A Light-Weight LLM File Format for Highly-Secure Model Distribution," arXiv:2512.04580, 2024.</w:t>
      </w:r>
    </w:p>
    <w:p>
      <w:pPr>
        <w:spacing w:before="40" w:after="40"/>
        <w:ind w:left="360" w:hanging="360"/>
      </w:pPr>
      <w:r>
        <w:rPr>
          <w:rFonts w:ascii="Arial" w:hAnsi="Arial"/>
          <w:sz w:val="18"/>
        </w:rPr>
        <w:t>[10] Anonymous, "Mind the Gap: A Practical Attack on GGUF Quantization," OpenReview, 2024.</w:t>
      </w:r>
    </w:p>
    <w:p>
      <w:pPr>
        <w:spacing w:before="40" w:after="40"/>
        <w:ind w:left="360" w:hanging="360"/>
      </w:pPr>
      <w:r>
        <w:rPr>
          <w:rFonts w:ascii="Arial" w:hAnsi="Arial"/>
          <w:sz w:val="18"/>
        </w:rPr>
        <w:t>[11] MITRE Corporation, "MITRE ATLAS: Adversarial Threat Landscape for Artificial-Intelligence Systems," 2023. [Online]. Available: https://atlas.mitre.org.</w:t>
      </w:r>
    </w:p>
    <w:p>
      <w:pPr>
        <w:spacing w:before="40" w:after="40"/>
        <w:ind w:left="360" w:hanging="360"/>
      </w:pPr>
      <w:r>
        <w:rPr>
          <w:rFonts w:ascii="Arial" w:hAnsi="Arial"/>
          <w:sz w:val="18"/>
        </w:rPr>
        <w:t>[12] S. Gentyala, "Securing the AI Supply Chain: A Framework for AI Software Bills of Materials and Model Provenance Assurance," Trans. Mach. Learn. Artif. Intell., vol. 14, no. 1, pp. 119-129, 2026, doi: 10.14738/tmlai.1401.19884.</w:t>
      </w:r>
    </w:p>
    <w:p>
      <w:pPr>
        <w:spacing w:before="40" w:after="40"/>
        <w:ind w:left="360" w:hanging="360"/>
      </w:pPr>
      <w:r>
        <w:rPr>
          <w:rFonts w:ascii="Arial" w:hAnsi="Arial"/>
          <w:sz w:val="18"/>
        </w:rPr>
        <w:t>[13] NIST, "Artificial Intelligence Risk Management Framework (AI RMF 1.0)," NIST AI 100-1, 2023, doi: 10.6028/NIST.AI.100-1.</w:t>
      </w:r>
    </w:p>
    <w:p>
      <w:pPr>
        <w:spacing w:before="40" w:after="40"/>
        <w:ind w:left="360" w:hanging="360"/>
      </w:pPr>
      <w:r>
        <w:rPr>
          <w:rFonts w:ascii="Arial" w:hAnsi="Arial"/>
          <w:sz w:val="18"/>
        </w:rPr>
        <w:t>[14] MITRE Corporation, "MITRE ATLAS," 2023. [Online]. Available: https://atlas.mitre.org.</w:t>
      </w:r>
    </w:p>
    <w:p>
      <w:pPr>
        <w:spacing w:before="40" w:after="40"/>
        <w:ind w:left="360" w:hanging="360"/>
      </w:pPr>
      <w:r>
        <w:rPr>
          <w:rFonts w:ascii="Arial" w:hAnsi="Arial"/>
          <w:sz w:val="18"/>
        </w:rPr>
        <w:t>[15] OpenSSF AI/ML Working Group, "Launch of Model Signing v1.0: Securing the Machine Learning Supply Chain," Open Source Security Foundation Blog, 2025.</w:t>
      </w:r>
    </w:p>
    <w:p>
      <w:pPr>
        <w:spacing w:before="40" w:after="40"/>
        <w:ind w:left="360" w:hanging="360"/>
      </w:pPr>
      <w:r>
        <w:rPr>
          <w:rFonts w:ascii="Arial" w:hAnsi="Arial"/>
          <w:sz w:val="18"/>
        </w:rPr>
        <w:t>[16] OWASP Gen AI Security Project, "LLM03:2025 Supply Chain," OWASP GenAI Security Top 10, 2025.</w:t>
      </w:r>
    </w:p>
    <w:p>
      <w:pPr>
        <w:spacing w:before="40" w:after="40"/>
        <w:ind w:left="360" w:hanging="360"/>
      </w:pPr>
      <w:r>
        <w:rPr>
          <w:rFonts w:ascii="Arial" w:hAnsi="Arial"/>
          <w:sz w:val="18"/>
        </w:rPr>
        <w:t>[17] S. Gentyala, "Operationalising Artificial Intelligence Bills of Materials for Verifiable AI Provenance and Lifecycle Assurance," Front. Comput. Sci., 2026, doi: 10.3389/fcomp.2026.1735919.</w:t>
      </w:r>
    </w:p>
    <w:sectPr w:rsidR="00FC693F" w:rsidRPr="0006063C" w:rsidSect="00034616">
      <w:pgSz w:w="11906" w:h="16838"/>
      <w:pgMar w:top="1440" w:right="1080" w:bottom="1440" w:left="108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