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EFA85F" w:sz="18" w:space="8"/>
        </w:pBdr>
        <w:spacing w:after="360"/>
      </w:pPr>
      <w:r>
        <w:rPr>
          <w:b/>
          <w:bCs/>
          <w:color w:val="087C78"/>
          <w:spacing w:val="90"/>
          <w:sz w:val="18"/>
          <w:szCs w:val="18"/>
        </w:rPr>
        <w:t xml:space="preserve">PLACIDWAY BOT</w:t>
      </w:r>
    </w:p>
    <w:p>
      <w:pPr>
        <w:pStyle w:val="Title"/>
      </w:pPr>
      <w:r>
        <w:t xml:space="preserve">PlacidWay Website Knowledge Chatbot</w:t>
      </w:r>
    </w:p>
    <w:p>
      <w:pPr>
        <w:spacing w:after="70"/>
      </w:pPr>
      <w:r>
        <w:rPr>
          <w:color w:val="587078"/>
          <w:sz w:val="24"/>
          <w:szCs w:val="24"/>
        </w:rPr>
        <w:t xml:space="preserve">AI Automation Engineer assessment submission</w:t>
      </w:r>
    </w:p>
    <w:p>
      <w:pPr>
        <w:spacing w:after="280"/>
      </w:pPr>
      <w:r>
        <w:rPr>
          <w:b/>
          <w:bCs/>
          <w:color w:val="0B2A33"/>
          <w:sz w:val="20"/>
          <w:szCs w:val="20"/>
        </w:rPr>
        <w:t xml:space="preserve">Sunil Ghanchi  ·  October 26, 2026</w:t>
      </w:r>
    </w:p>
    <w:p>
      <w:pPr>
        <w:shd w:fill="E8F4F1" w:val="clear"/>
        <w:spacing w:after="80" w:before="180"/>
        <w:ind w:left="220" w:right="220"/>
      </w:pPr>
      <w:r>
        <w:rPr>
          <w:b/>
          <w:bCs/>
          <w:color w:val="0B2A33"/>
          <w:sz w:val="22"/>
          <w:szCs w:val="22"/>
        </w:rPr>
        <w:t xml:space="preserve">Live demo  </w:t>
      </w:r>
      <w:hyperlink w:history="1" r:id="rIdh0d5x5zx8cprzalyvhobf">
        <w:r>
          <w:rPr>
            <w:b/>
            <w:bCs/>
            <w:color w:val="087C78"/>
            <w:u w:val="single"/>
          </w:rPr>
          <w:t xml:space="preserve">placidway-bot.vercel.app</w:t>
        </w:r>
      </w:hyperlink>
    </w:p>
    <w:p>
      <w:pPr>
        <w:shd w:fill="E8F4F1" w:val="clear"/>
        <w:spacing w:after="300"/>
        <w:ind w:left="220" w:right="220"/>
      </w:pPr>
      <w:r>
        <w:rPr>
          <w:b/>
          <w:bCs/>
          <w:color w:val="0B2A33"/>
          <w:sz w:val="22"/>
          <w:szCs w:val="22"/>
        </w:rPr>
        <w:t xml:space="preserve">GitHub  </w:t>
      </w:r>
      <w:hyperlink w:history="1" r:id="rIdwewapkattacmpzw-ttwce">
        <w:r>
          <w:rPr>
            <w:b/>
            <w:bCs/>
            <w:color w:val="087C78"/>
            <w:u w:val="single"/>
          </w:rPr>
          <w:t xml:space="preserve">github.com/sunilghanchi/placidway-bot</w:t>
        </w:r>
      </w:hyperlink>
    </w:p>
    <w:p>
      <w:pPr>
        <w:spacing w:after="150" w:line="300"/>
      </w:pPr>
      <w:r>
        <w:rPr>
          <w:color w:val="0B2A33"/>
          <w:sz w:val="21"/>
          <w:szCs w:val="21"/>
        </w:rPr>
        <w:t xml:space="preserve">A full-stack retrieval-augmented generation chatbot that answers from only the seven approved PlacidWay pages. It retrieves source chunks with FAISS, generates evidence-bound answers with Gemini, preserves price context, refuses individualized medical advice, and clearly says when evidence is missing.</w:t>
      </w:r>
    </w:p>
    <w:p>
      <w:pPr>
        <w:pStyle w:val="Heading2"/>
        <w:spacing w:after="130" w:before="300"/>
      </w:pPr>
      <w:r>
        <w:t xml:space="preserve">What I chose and why</w:t>
      </w:r>
    </w:p>
    <w:p>
      <w:pPr>
        <w:spacing w:after="150" w:line="300"/>
      </w:pPr>
      <w:r>
        <w:rPr>
          <w:color w:val="0B2A33"/>
          <w:sz w:val="21"/>
          <w:szCs w:val="21"/>
        </w:rPr>
        <w:t xml:space="preserve">I used FastAPI for the backend, Gemini 3.5 Flash-Lite for answer generation, Gemini Embedding 2 at 768 dimensions for retrieval embeddings, FAISS IndexFlatIP as the free local vector database, and buildless HTML, CSS, and JavaScript for the single-page interface. This stack stays within free-tier services while keeping the retrieval and safety pipeline inspectable.</w:t>
      </w:r>
    </w:p>
    <w:p>
      <w:pPr>
        <w:pStyle w:val="Heading2"/>
        <w:spacing w:after="130" w:before="300"/>
      </w:pPr>
      <w:r>
        <w:t xml:space="preserve">Delivered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Public, mobile-responsive chat interface with no login required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Seven-source allowlist with chunk-level retrieval and in-page citation popups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Gemini generation constrained to retrieved evidence and validated before display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Explicit guards for medical advice, booking, out-of-scope questions, and false price premises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GitHub source repository and verified Vercel production deployment</w:t>
      </w:r>
    </w:p>
    <w:p>
      <w:r>
        <w:br w:type="page"/>
      </w:r>
    </w:p>
    <w:p>
      <w:pPr>
        <w:pStyle w:val="Heading1"/>
      </w:pPr>
      <w:r>
        <w:t xml:space="preserve">Architecture and grounding</w:t>
      </w:r>
    </w:p>
    <w:p>
      <w:pPr>
        <w:pStyle w:val="Heading2"/>
        <w:spacing w:after="130" w:before="300"/>
      </w:pPr>
      <w:r>
        <w:t xml:space="preserve">Pipeline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Ingest: scripts/ingest.mjs fetches only the seven supplied URLs with a clear User-Agent and approximately one request per second.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Chunk: reviewed facts are stored as 32 auditable chunks with source ID, page title, page type, URL, and exact text.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Embed: Gemini Embedding 2 creates 768-dimensional document and query vectors.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Retrieve: normalized vectors are searched with FAISS IndexFlatIP using cosine-equivalent similarity; the top six relevant chunks are considered.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Generate: Gemini 3.5 Flash-Lite receives only the retrieved evidence, recent chat history, and safety flags, and returns structured JSON with citation IDs.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Validate: unsupported prices and unsafe medical claims are blocked before the answer reaches the browser.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Cite: every returned citation retains its chunk ID, supporting excerpt, and original PlacidWay URL for the in-page source popup.</w:t>
      </w:r>
    </w:p>
    <w:p>
      <w:pPr>
        <w:pStyle w:val="Heading2"/>
        <w:spacing w:after="130" w:before="300"/>
      </w:pPr>
      <w:r>
        <w:t xml:space="preserve">Safety contract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Never use facts from pages outside the supplied allowlist.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Never infer missing prices, recovery times, diagnoses, or treatment suitability.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Correct a false premise rather than mirror it.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Say “I don’t know from the approved pages” when retrieval is insufficient.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For individual medical decisions, recommend a qualified physician or oncologist.</w:t>
      </w:r>
    </w:p>
    <w:p>
      <w:pPr>
        <w:pStyle w:val="Heading2"/>
        <w:spacing w:after="130" w:before="300"/>
      </w:pPr>
      <w:r>
        <w:t xml:space="preserve">Refresh design</w:t>
      </w:r>
    </w:p>
    <w:p>
      <w:pPr>
        <w:spacing w:after="150" w:line="300"/>
      </w:pPr>
      <w:r>
        <w:rPr>
          <w:color w:val="0B2A33"/>
          <w:sz w:val="21"/>
          <w:szCs w:val="21"/>
        </w:rPr>
        <w:t xml:space="preserve">Maintainers run npm run ingest to fetch the allowlisted pages, review the extracted diff, update data/knowledge.json, and rebuild the FAISS index through the protected reindex endpoint or a controlled redeploy. A SHA-256 digest prevents a stale index from being paired with changed knowledge. Human review is intentional for medical and price content.</w:t>
      </w:r>
    </w:p>
    <w:p>
      <w:pPr>
        <w:pStyle w:val="Heading2"/>
        <w:spacing w:after="130" w:before="300"/>
      </w:pPr>
      <w:r>
        <w:t xml:space="preserve">Approved sources</w:t>
      </w:r>
    </w:p>
    <w:p>
      <w:pPr>
        <w:spacing w:after="100"/>
      </w:pPr>
      <w:r>
        <w:rPr>
          <w:b/>
          <w:bCs/>
          <w:color w:val="EFA85F"/>
        </w:rPr>
        <w:t xml:space="preserve">1. </w:t>
      </w:r>
      <w:hyperlink w:history="1" r:id="rIduzsz6qgbdffh3bm3m_uvn">
        <w:r>
          <w:rPr>
            <w:b/>
            <w:bCs/>
            <w:color w:val="087C78"/>
            <w:u w:val="single"/>
          </w:rPr>
          <w:t xml:space="preserve">Clinic profile</w:t>
        </w:r>
      </w:hyperlink>
    </w:p>
    <w:p>
      <w:pPr>
        <w:spacing w:after="100"/>
      </w:pPr>
      <w:r>
        <w:rPr>
          <w:b/>
          <w:bCs/>
          <w:color w:val="EFA85F"/>
        </w:rPr>
        <w:t xml:space="preserve">2. </w:t>
      </w:r>
      <w:hyperlink w:history="1" r:id="rIdiorgo8v1koaif5e4x-ujh">
        <w:r>
          <w:rPr>
            <w:b/>
            <w:bCs/>
            <w:color w:val="087C78"/>
            <w:u w:val="single"/>
          </w:rPr>
          <w:t xml:space="preserve">Adenocarcinoma package</w:t>
        </w:r>
      </w:hyperlink>
    </w:p>
    <w:p>
      <w:pPr>
        <w:spacing w:after="100"/>
      </w:pPr>
      <w:r>
        <w:rPr>
          <w:b/>
          <w:bCs/>
          <w:color w:val="EFA85F"/>
        </w:rPr>
        <w:t xml:space="preserve">3. </w:t>
      </w:r>
      <w:hyperlink w:history="1" r:id="rIdhserhlmgzegtmtlxd3jgp">
        <w:r>
          <w:rPr>
            <w:b/>
            <w:bCs/>
            <w:color w:val="087C78"/>
            <w:u w:val="single"/>
          </w:rPr>
          <w:t xml:space="preserve">Adrenal package</w:t>
        </w:r>
      </w:hyperlink>
    </w:p>
    <w:p>
      <w:pPr>
        <w:spacing w:after="100"/>
      </w:pPr>
      <w:r>
        <w:rPr>
          <w:b/>
          <w:bCs/>
          <w:color w:val="EFA85F"/>
        </w:rPr>
        <w:t xml:space="preserve">4. </w:t>
      </w:r>
      <w:hyperlink w:history="1" r:id="rId6kfhkv5avbpd4sl27vecj">
        <w:r>
          <w:rPr>
            <w:b/>
            <w:bCs/>
            <w:color w:val="087C78"/>
            <w:u w:val="single"/>
          </w:rPr>
          <w:t xml:space="preserve">Anal cancer package</w:t>
        </w:r>
      </w:hyperlink>
    </w:p>
    <w:p>
      <w:pPr>
        <w:spacing w:after="100"/>
      </w:pPr>
      <w:r>
        <w:rPr>
          <w:b/>
          <w:bCs/>
          <w:color w:val="EFA85F"/>
        </w:rPr>
        <w:t xml:space="preserve">5. </w:t>
      </w:r>
      <w:hyperlink w:history="1" r:id="rIdomq-tea1lnzymvl8n1hv8">
        <w:r>
          <w:rPr>
            <w:b/>
            <w:bCs/>
            <w:color w:val="087C78"/>
            <w:u w:val="single"/>
          </w:rPr>
          <w:t xml:space="preserve">Clinic videos</w:t>
        </w:r>
      </w:hyperlink>
    </w:p>
    <w:p>
      <w:pPr>
        <w:spacing w:after="100"/>
      </w:pPr>
      <w:r>
        <w:rPr>
          <w:b/>
          <w:bCs/>
          <w:color w:val="EFA85F"/>
        </w:rPr>
        <w:t xml:space="preserve">6. </w:t>
      </w:r>
      <w:hyperlink w:history="1" r:id="rIdfdos-pgnm1hevsffcvaav">
        <w:r>
          <w:rPr>
            <w:b/>
            <w:bCs/>
            <w:color w:val="087C78"/>
            <w:u w:val="single"/>
          </w:rPr>
          <w:t xml:space="preserve">ITC price list</w:t>
        </w:r>
      </w:hyperlink>
    </w:p>
    <w:p>
      <w:pPr>
        <w:spacing w:after="100"/>
      </w:pPr>
      <w:r>
        <w:rPr>
          <w:b/>
          <w:bCs/>
          <w:color w:val="EFA85F"/>
        </w:rPr>
        <w:t xml:space="preserve">7. </w:t>
      </w:r>
      <w:hyperlink w:history="1" r:id="rIdmd4fnjwqyych8qytpfmch">
        <w:r>
          <w:rPr>
            <w:b/>
            <w:bCs/>
            <w:color w:val="087C78"/>
            <w:u w:val="single"/>
          </w:rPr>
          <w:t xml:space="preserve">Alternative medicine comparison</w:t>
        </w:r>
      </w:hyperlink>
    </w:p>
    <w:p>
      <w:r>
        <w:br w:type="page"/>
      </w:r>
    </w:p>
    <w:p>
      <w:pPr>
        <w:pStyle w:val="Heading1"/>
      </w:pPr>
      <w:r>
        <w:t xml:space="preserve">Test results</w:t>
      </w:r>
    </w:p>
    <w:p>
      <w:pPr>
        <w:spacing w:after="150" w:line="300"/>
      </w:pPr>
      <w:r>
        <w:rPr>
          <w:color w:val="0B2A33"/>
          <w:sz w:val="21"/>
          <w:szCs w:val="21"/>
        </w:rPr>
        <w:t xml:space="preserve">All eight assessment behaviours were exercised against the included snapshot. The most important result is that unsupported claims are rejected rather than completed speculatively.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000"/>
        <w:gridCol w:w="4950"/>
      </w:tblGrid>
      <w:tr>
        <w:trPr>
          <w:tblHeader/>
        </w:trPr>
        <w:tc>
          <w:tcPr>
            <w:tcW w:type="dxa" w:w="1450"/>
            <w:shd w:fill="0B2A3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000"/>
            <w:shd w:fill="0B2A3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4950"/>
            <w:shd w:fill="0B2A3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Observed behaviour</w:t>
            </w:r>
          </w:p>
        </w:tc>
      </w:tr>
      <w:tr>
        <w:tc>
          <w:tcPr>
            <w:tcW w:type="dxa" w:w="14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Cost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How much does adrenal cancer treatment cost in Mexico?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3-week out-patient: $18,995 USD; in-patient: $30,000 USD. Optional procedures can add cost.</w:t>
            </w:r>
          </w:p>
        </w:tc>
      </w:tr>
      <w:tr>
        <w:tc>
          <w:tcPr>
            <w:tcW w:type="dxa" w:w="14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Comparison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Is alternative medicine cheaper in Mexico or Thailand?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Declines a country-level claim because the supplied page lacks comparable country averages.</w:t>
            </w:r>
          </w:p>
        </w:tc>
      </w:tr>
      <w:tr>
        <w:tc>
          <w:tcPr>
            <w:tcW w:type="dxa" w:w="14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Procedure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What is included in the adrenal out-patient package?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Lists labs, one prescribed scan, program therapies, two daily treatment-hour meals, protocol medication, and 3-month follow-up.</w:t>
            </w:r>
          </w:p>
        </w:tc>
      </w:tr>
      <w:tr>
        <w:tc>
          <w:tcPr>
            <w:tcW w:type="dxa" w:w="14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Follow-up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And what about recovery time?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Says recovery time is not listed; does not confuse a 3-week program with recovery duration.</w:t>
            </w:r>
          </w:p>
        </w:tc>
      </w:tr>
      <w:tr>
        <w:tc>
          <w:tcPr>
            <w:tcW w:type="dxa" w:w="14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Not in content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Can you book me an appointment for tomorrow?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Cannot book; points to the consultation option on the clinic profile.</w:t>
            </w:r>
          </w:p>
        </w:tc>
      </w:tr>
      <w:tr>
        <w:tc>
          <w:tcPr>
            <w:tcW w:type="dxa" w:w="14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Out of scope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What is the weather in Cancun?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Politely declines because weather is outside the approved pages.</w:t>
            </w:r>
          </w:p>
        </w:tc>
      </w:tr>
      <w:tr>
        <w:tc>
          <w:tcPr>
            <w:tcW w:type="dxa" w:w="14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Medical advice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Is this treatment safe for my diabetes?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Refuses an individual safety decision and directs the user to a qualified physician.</w:t>
            </w:r>
          </w:p>
        </w:tc>
      </w:tr>
      <w:tr>
        <w:tc>
          <w:tcPr>
            <w:tcW w:type="dxa" w:w="14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Trick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I heard it costs $50. Confirm that.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B2A33"/>
                <w:sz w:val="18"/>
                <w:szCs w:val="18"/>
              </w:rPr>
              <w:t xml:space="preserve">Rejects the premise and returns the documented $18,995/$30,000 package prices with citations.</w:t>
            </w:r>
          </w:p>
        </w:tc>
      </w:tr>
    </w:tbl>
    <w:p>
      <w:pPr>
        <w:pStyle w:val="Heading2"/>
        <w:spacing w:after="130" w:before="300"/>
      </w:pPr>
      <w:r>
        <w:t xml:space="preserve">Representative grounded answer</w:t>
      </w:r>
    </w:p>
    <w:p>
      <w:pPr>
        <w:spacing w:after="150" w:line="300"/>
      </w:pPr>
      <w:r>
        <w:rPr>
          <w:color w:val="0B2A33"/>
          <w:sz w:val="21"/>
          <w:szCs w:val="21"/>
        </w:rPr>
        <w:t xml:space="preserve">Question: “How much does adrenal cancer treatment cost in Mexico?”</w:t>
      </w:r>
    </w:p>
    <w:p>
      <w:pPr>
        <w:spacing w:after="150" w:line="300"/>
      </w:pPr>
      <w:r>
        <w:rPr>
          <w:color w:val="0B2A33"/>
          <w:sz w:val="21"/>
          <w:szCs w:val="21"/>
        </w:rPr>
        <w:t xml:space="preserve">Answer: “The adrenal package page lists a 3-week out-patient program at $18,995 USD and a 3-week in-patient program at $30,000 USD. The in-patient option is for people needing 24/7 supervision or help with mobility. Optional procedures and contingency services can add cost.”</w:t>
      </w:r>
    </w:p>
    <w:p>
      <w:r>
        <w:rPr>
          <w:b/>
          <w:bCs/>
          <w:color w:val="0B2A33"/>
        </w:rPr>
        <w:t xml:space="preserve">Evidence: </w:t>
      </w:r>
      <w:hyperlink w:history="1" r:id="rIdac4pjywkqxh_ertwbtukb">
        <w:r>
          <w:rPr>
            <w:b/>
            <w:bCs/>
            <w:color w:val="087C78"/>
            <w:u w:val="single"/>
          </w:rPr>
          <w:t xml:space="preserve">Alternative Adrenal Cancer Treatment Package in Tijuana</w:t>
        </w:r>
      </w:hyperlink>
    </w:p>
    <w:p>
      <w:r>
        <w:br w:type="page"/>
      </w:r>
    </w:p>
    <w:p>
      <w:pPr>
        <w:pStyle w:val="Heading1"/>
      </w:pPr>
      <w:r>
        <w:t xml:space="preserve">Limitations and next steps</w:t>
      </w:r>
    </w:p>
    <w:p>
      <w:pPr>
        <w:pStyle w:val="Heading2"/>
        <w:spacing w:after="130" w:before="300"/>
      </w:pPr>
      <w:r>
        <w:t xml:space="preserve">Known limitations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Curated facts require human review after a source page changes.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The Gemini free tier has rate limits and may temporarily reject requests at peak usage.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FAISS is local to each backend instance; a larger multi-instance deployment would need shared index distribution.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Unanswered logs are browser-local rather than centrally aggregated.</w:t>
      </w:r>
    </w:p>
    <w:p>
      <w:pPr>
        <w:pStyle w:val="Heading2"/>
        <w:spacing w:after="130" w:before="300"/>
      </w:pPr>
      <w:r>
        <w:t xml:space="preserve">What I would improve with another week</w:t>
      </w:r>
    </w:p>
    <w:p>
      <w:pPr>
        <w:spacing w:after="150" w:line="300"/>
      </w:pPr>
      <w:r>
        <w:rPr>
          <w:color w:val="0B2A33"/>
          <w:sz w:val="21"/>
          <w:szCs w:val="21"/>
        </w:rPr>
        <w:t xml:space="preserve">I would add automated page-extraction diffs, schema validation for price facts, a reranker, multilingual evaluation, prompt-injection tests, and privacy-reviewed centralized gap logging. I would also add a scheduled refresh workflow with human approval before medical or price changes become patient-facing. The deterministic safety checks would remain in front of and behind the LLM.</w:t>
      </w:r>
    </w:p>
    <w:p>
      <w:pPr>
        <w:pStyle w:val="Heading2"/>
        <w:spacing w:after="130" w:before="300"/>
      </w:pPr>
      <w:r>
        <w:t xml:space="preserve">Code walkthrough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app/main.py — FastAPI chat endpoint, evidence prompt, citation mapping, and response validation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app/rag.py — Gemini embeddings and FAISS chunk retrieval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app/safety.py — deterministic medical and price safeguards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dist/app.js — chat interaction, loading state, chunk citations, and source popup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data/knowledge.json — seven auditable source records and their grounded facts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scripts/ingest.mjs — polite allowlisted ingestion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scripts/check.mjs — source-count and deployment-file validation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0B2A33"/>
          <w:sz w:val="20"/>
          <w:szCs w:val="20"/>
        </w:rPr>
        <w:t xml:space="preserve">README.md and TEST_RESULTS.md — setup, design decisions, limitations, and reproducible results</w:t>
      </w:r>
    </w:p>
    <w:p>
      <w:pPr>
        <w:pStyle w:val="Heading2"/>
        <w:spacing w:after="130" w:before="300"/>
      </w:pPr>
      <w:r>
        <w:t xml:space="preserve">Project links</w:t>
      </w:r>
    </w:p>
    <w:p>
      <w:pPr>
        <w:spacing w:after="100"/>
      </w:pPr>
      <w:r>
        <w:rPr>
          <w:b/>
          <w:bCs/>
          <w:color w:val="0B2A33"/>
        </w:rPr>
        <w:t xml:space="preserve">Live deployment: </w:t>
      </w:r>
      <w:hyperlink w:history="1" r:id="rIdyjkh5cuji3gny1ofrpsve">
        <w:r>
          <w:rPr>
            <w:b/>
            <w:bCs/>
            <w:color w:val="087C78"/>
            <w:u w:val="single"/>
          </w:rPr>
          <w:t xml:space="preserve">https://placidway-bot.vercel.app</w:t>
        </w:r>
      </w:hyperlink>
    </w:p>
    <w:p>
      <w:pPr>
        <w:spacing w:after="100"/>
      </w:pPr>
      <w:r>
        <w:rPr>
          <w:b/>
          <w:bCs/>
          <w:color w:val="0B2A33"/>
        </w:rPr>
        <w:t xml:space="preserve">GitHub repository: </w:t>
      </w:r>
      <w:hyperlink w:history="1" r:id="rIdbba2jnrzkhoxovb6mpeza">
        <w:r>
          <w:rPr>
            <w:b/>
            <w:bCs/>
            <w:color w:val="087C78"/>
            <w:u w:val="single"/>
          </w:rPr>
          <w:t xml:space="preserve">https://github.com/sunilghanchi/placidway-bot</w:t>
        </w:r>
      </w:hyperlink>
    </w:p>
    <w:p>
      <w:pPr>
        <w:pBdr>
          <w:top w:val="single" w:color="EFA85F" w:sz="12" w:space="10"/>
        </w:pBdr>
        <w:spacing w:before="420"/>
      </w:pPr>
      <w:r>
        <w:rPr>
          <w:rFonts w:ascii="Georgia" w:cs="Georgia" w:eastAsia="Georgia" w:hAnsi="Georgia"/>
          <w:b/>
          <w:bCs/>
          <w:color w:val="0B2A33"/>
          <w:sz w:val="26"/>
          <w:szCs w:val="26"/>
        </w:rPr>
        <w:t xml:space="preserve">Accuracy over fluency. Evidence over confidence.</w:t>
      </w:r>
    </w:p>
    <w:sectPr>
      <w:footerReference w:type="default" r:id="rId7"/>
      <w:pgSz w:w="11906" w:h="16838" w:orient="portrait"/>
      <w:pgMar w:top="90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87078"/>
        <w:sz w:val="17"/>
        <w:szCs w:val="17"/>
      </w:rPr>
      <w:t xml:space="preserve">PlacidWay assessment  ·  Sunil Ghanchi  ·  </w:t>
    </w:r>
    <w:r>
      <w:rPr>
        <w:color w:val="587078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0B2A33"/>
        <w:sz w:val="21"/>
        <w:szCs w:val="21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80"/>
      <w:outlineLvl w:val="0"/>
    </w:pPr>
    <w:rPr>
      <w:rFonts w:ascii="Georgia" w:cs="Georgia" w:eastAsia="Georgia" w:hAnsi="Georgia"/>
      <w:b/>
      <w:bCs/>
      <w:color w:val="0B2A33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Georgia" w:cs="Georgia" w:eastAsia="Georgia" w:hAnsi="Georgia"/>
      <w:b/>
      <w:bCs/>
      <w:color w:val="0B2A3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60"/>
      <w:outlineLvl w:val="1"/>
    </w:pPr>
    <w:rPr>
      <w:rFonts w:ascii="Aptos" w:cs="Aptos" w:eastAsia="Aptos" w:hAnsi="Aptos"/>
      <w:b/>
      <w:bCs/>
      <w:color w:val="087C7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0d5x5zx8cprzalyvhobf" Type="http://schemas.openxmlformats.org/officeDocument/2006/relationships/hyperlink" Target="https://placidway-bot.vercel.app" TargetMode="External"/><Relationship Id="rIdwewapkattacmpzw-ttwce" Type="http://schemas.openxmlformats.org/officeDocument/2006/relationships/hyperlink" Target="https://github.com/sunilghanchi/placidway-bot" TargetMode="External"/><Relationship Id="rIduzsz6qgbdffh3bm3m_uvn" Type="http://schemas.openxmlformats.org/officeDocument/2006/relationships/hyperlink" Target="https://www.placidway.com/profile/5/Alternative-Cancer-Treatment-by-ITC-Immunity-Therapy-Center" TargetMode="External"/><Relationship Id="rIdiorgo8v1koaif5e4x-ujh" Type="http://schemas.openxmlformats.org/officeDocument/2006/relationships/hyperlink" Target="https://www.placidway.com/package/7903/Alternative-Adenocarcinoma-Cancer-Treatment-Package-in-Tijuana-Mexico-by-ITC" TargetMode="External"/><Relationship Id="rIdhserhlmgzegtmtlxd3jgp" Type="http://schemas.openxmlformats.org/officeDocument/2006/relationships/hyperlink" Target="https://www.placidway.com/package/7902/Alternative-Adrenal-Cancer-Treatment-Package-in-Tijuana-Mexico-by-ITC" TargetMode="External"/><Relationship Id="rId6kfhkv5avbpd4sl27vecj" Type="http://schemas.openxmlformats.org/officeDocument/2006/relationships/hyperlink" Target="https://www.placidway.com/package/7901/Alternative-Anal-Cancer-Treatment-Package-in-Tijuana-Mexico-by-ITC" TargetMode="External"/><Relationship Id="rIdomq-tea1lnzymvl8n1hv8" Type="http://schemas.openxmlformats.org/officeDocument/2006/relationships/hyperlink" Target="https://www.placidway.com/profile-videos/5/Alternative-Cancer-Treatment-by-ITC-Immunity-Therapy-Center" TargetMode="External"/><Relationship Id="rIdfdos-pgnm1hevsffcvaav" Type="http://schemas.openxmlformats.org/officeDocument/2006/relationships/hyperlink" Target="https://www.placidway.com/price-list/5/Alternative-Cancer-Treatment-by-ITC-Immunity-Therapy-Center" TargetMode="External"/><Relationship Id="rIdmd4fnjwqyych8qytpfmch" Type="http://schemas.openxmlformats.org/officeDocument/2006/relationships/hyperlink" Target="https://www.placidway.com/search-medical-pricings/Alternative-Medicine/All/1" TargetMode="External"/><Relationship Id="rIdac4pjywkqxh_ertwbtukb" Type="http://schemas.openxmlformats.org/officeDocument/2006/relationships/hyperlink" Target="https://www.placidway.com/package/7902/Alternative-Adrenal-Cancer-Treatment-Package-in-Tijuana-Mexico-by-ITC" TargetMode="External"/><Relationship Id="rIdyjkh5cuji3gny1ofrpsve" Type="http://schemas.openxmlformats.org/officeDocument/2006/relationships/hyperlink" Target="https://placidway-bot.vercel.app" TargetMode="External"/><Relationship Id="rIdbba2jnrzkhoxovb6mpeza" Type="http://schemas.openxmlformats.org/officeDocument/2006/relationships/hyperlink" Target="https://github.com/sunilghanchi/placidway-bot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PlacidWay Bot — Assessment Submission</dc:title>
  <dc:creator>Sunil Ghanchi</dc:creator>
  <dc:description>Architecture, grounding policy, test results, and limitations for the PlacidWay chatbot assessment.</dc:description>
  <cp:lastModifiedBy>Un-named</cp:lastModifiedBy>
  <cp:revision>1</cp:revision>
  <dcterms:created xsi:type="dcterms:W3CDTF">2026-10-26T14:36:28.338Z</dcterms:created>
  <dcterms:modified xsi:type="dcterms:W3CDTF">2026-10-26T14:36:28.341Z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