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FA85F" w:sz="18" w:space="8"/>
        </w:pBdr>
        <w:spacing w:after="360"/>
      </w:pPr>
      <w:r>
        <w:rPr>
          <w:b/>
          <w:bCs/>
          <w:color w:val="087C78"/>
          <w:spacing w:val="90"/>
          <w:sz w:val="18"/>
          <w:szCs w:val="18"/>
        </w:rPr>
        <w:t xml:space="preserve">GROUNDED CARE GUIDE</w:t>
      </w:r>
    </w:p>
    <w:p>
      <w:pPr>
        <w:pStyle w:val="Title"/>
      </w:pPr>
      <w:r>
        <w:t xml:space="preserve">PlacidWay Website Knowledge Chatbot</w:t>
      </w:r>
    </w:p>
    <w:p>
      <w:pPr>
        <w:spacing w:after="280"/>
      </w:pPr>
      <w:r>
        <w:rPr>
          <w:color w:val="587078"/>
          <w:sz w:val="24"/>
          <w:szCs w:val="24"/>
        </w:rPr>
        <w:t xml:space="preserve">AI Automation Engineer assessment submission</w:t>
      </w:r>
      <w:r>
        <w:rPr>
          <w:b/>
          <w:bCs/>
          <w:color w:val="0B2A33"/>
          <w:sz w:val="20"/>
          <w:szCs w:val="20"/>
        </w:rPr>
        <w:t xml:space="preserve">
Sunil Ghanchi  ·  October 26, 2026</w:t>
      </w:r>
    </w:p>
    <w:p>
      <w:pPr>
        <w:shd w:fill="E8F4F1" w:val="clear"/>
        <w:spacing w:after="300" w:before="180"/>
        <w:ind w:left="220" w:right="220"/>
      </w:pPr>
      <w:r>
        <w:rPr>
          <w:b/>
          <w:bCs/>
          <w:color w:val="0B2A33"/>
          <w:sz w:val="22"/>
          <w:szCs w:val="22"/>
        </w:rPr>
        <w:t xml:space="preserve">Live demo  </w:t>
      </w:r>
      <w:hyperlink w:history="1" r:id="rIdgpro0o8qw8nggspfxtkhx">
        <w:r>
          <w:rPr>
            <w:b/>
            <w:bCs/>
            <w:color w:val="087C78"/>
            <w:u w:val="single"/>
          </w:rPr>
          <w:t xml:space="preserve">placidway-grounded-chatbot.starrysiren6.chatgpt.site</w:t>
        </w:r>
      </w:hyperlink>
    </w:p>
    <w:p>
      <w:pPr>
        <w:spacing w:after="150" w:line="300"/>
      </w:pPr>
      <w:r>
        <w:rPr>
          <w:color w:val="0B2A33"/>
          <w:sz w:val="21"/>
          <w:szCs w:val="21"/>
        </w:rPr>
        <w:t xml:space="preserve">A small, deterministic chatbot that answers from only the seven approved PlacidWay pages. It cites every factual answer, preserves price context, refuses medical advice, and clearly says when evidence is missing.</w:t>
      </w:r>
    </w:p>
    <w:p>
      <w:pPr>
        <w:pStyle w:val="Heading2"/>
        <w:spacing w:after="130" w:before="300"/>
      </w:pPr>
      <w:r>
        <w:t xml:space="preserve">What I chose and why</w:t>
      </w:r>
    </w:p>
    <w:p>
      <w:pPr>
        <w:spacing w:after="150" w:line="300"/>
      </w:pPr>
      <w:r>
        <w:rPr>
          <w:color w:val="0B2A33"/>
          <w:sz w:val="21"/>
          <w:szCs w:val="21"/>
        </w:rPr>
        <w:t xml:space="preserve">I used buildless HTML, CSS, and JavaScript with a curated JSON knowledge base and deterministic retrieval. For a seven-page medical-information corpus, this design is easier to inspect and less likely to invent a price or medical claim than an unconstrained generative model. It also has no runtime API cost or secret keys.</w:t>
      </w:r>
    </w:p>
    <w:p>
      <w:pPr>
        <w:pStyle w:val="Heading2"/>
        <w:spacing w:after="130" w:before="300"/>
      </w:pPr>
      <w:r>
        <w:t xml:space="preserve">Delivered</w:t>
      </w:r>
    </w:p>
    <w:p>
      <w:pPr>
        <w:pStyle w:val="ListParagraph"/>
        <w:numPr>
          <w:ilvl w:val="0"/>
          <w:numId w:val="2"/>
        </w:numPr>
        <w:spacing w:after="90" w:line="280"/>
      </w:pPr>
      <w:r>
        <w:rPr>
          <w:color w:val="0B2A33"/>
          <w:sz w:val="20"/>
          <w:szCs w:val="20"/>
        </w:rPr>
        <w:t xml:space="preserve">Public, mobile-responsive chat interface with no login required</w:t>
      </w:r>
    </w:p>
    <w:p>
      <w:pPr>
        <w:pStyle w:val="ListParagraph"/>
        <w:numPr>
          <w:ilvl w:val="0"/>
          <w:numId w:val="2"/>
        </w:numPr>
        <w:spacing w:after="90" w:line="280"/>
      </w:pPr>
      <w:r>
        <w:rPr>
          <w:color w:val="0B2A33"/>
          <w:sz w:val="20"/>
          <w:szCs w:val="20"/>
        </w:rPr>
        <w:t xml:space="preserve">Seven-source allowlist, clickable citations, and a visible evidence trail</w:t>
      </w:r>
    </w:p>
    <w:p>
      <w:pPr>
        <w:pStyle w:val="ListParagraph"/>
        <w:numPr>
          <w:ilvl w:val="0"/>
          <w:numId w:val="2"/>
        </w:numPr>
        <w:spacing w:after="90" w:line="280"/>
      </w:pPr>
      <w:r>
        <w:rPr>
          <w:color w:val="0B2A33"/>
          <w:sz w:val="20"/>
          <w:szCs w:val="20"/>
        </w:rPr>
        <w:t xml:space="preserve">Explicit guards for medical advice, booking, out-of-scope questions, and false price premises</w:t>
      </w:r>
    </w:p>
    <w:p>
      <w:pPr>
        <w:pStyle w:val="ListParagraph"/>
        <w:numPr>
          <w:ilvl w:val="0"/>
          <w:numId w:val="2"/>
        </w:numPr>
        <w:spacing w:after="90" w:line="280"/>
      </w:pPr>
      <w:r>
        <w:rPr>
          <w:color w:val="0B2A33"/>
          <w:sz w:val="20"/>
          <w:szCs w:val="20"/>
        </w:rPr>
        <w:t xml:space="preserve">Refresh ingestion script with a clear User-Agent and 1.1-second request spacing</w:t>
      </w:r>
    </w:p>
    <w:p>
      <w:pPr>
        <w:pStyle w:val="ListParagraph"/>
        <w:numPr>
          <w:ilvl w:val="0"/>
          <w:numId w:val="2"/>
        </w:numPr>
        <w:spacing w:after="90" w:line="280"/>
      </w:pPr>
      <w:r>
        <w:rPr>
          <w:color w:val="0B2A33"/>
          <w:sz w:val="20"/>
          <w:szCs w:val="20"/>
        </w:rPr>
        <w:t xml:space="preserve">Follow-up topic memory and browser-local logging for unanswered questions</w:t>
      </w:r>
    </w:p>
    <w:p>
      <w:r>
        <w:br w:type="page"/>
      </w:r>
    </w:p>
    <w:p>
      <w:pPr>
        <w:pStyle w:val="Heading1"/>
      </w:pPr>
      <w:r>
        <w:t xml:space="preserve">Architecture and grounding</w:t>
      </w:r>
    </w:p>
    <w:p>
      <w:pPr>
        <w:pStyle w:val="Heading2"/>
        <w:spacing w:after="130" w:before="300"/>
      </w:pPr>
      <w:r>
        <w:t xml:space="preserve">Pipeline</w:t>
      </w:r>
    </w:p>
    <w:p>
      <w:pPr>
        <w:pStyle w:val="ListParagraph"/>
        <w:numPr>
          <w:ilvl w:val="0"/>
          <w:numId w:val="2"/>
        </w:numPr>
        <w:spacing w:after="90" w:line="280"/>
      </w:pPr>
      <w:r>
        <w:rPr>
          <w:color w:val="0B2A33"/>
          <w:sz w:val="20"/>
          <w:szCs w:val="20"/>
        </w:rPr>
        <w:t xml:space="preserve">Ingest: only the seven supplied URLs are fetchable by scripts/ingest.mjs.</w:t>
      </w:r>
    </w:p>
    <w:p>
      <w:pPr>
        <w:pStyle w:val="ListParagraph"/>
        <w:numPr>
          <w:ilvl w:val="0"/>
          <w:numId w:val="2"/>
        </w:numPr>
        <w:spacing w:after="90" w:line="280"/>
      </w:pPr>
      <w:r>
        <w:rPr>
          <w:color w:val="0B2A33"/>
          <w:sz w:val="20"/>
          <w:szCs w:val="20"/>
        </w:rPr>
        <w:t xml:space="preserve">Review: extracted text is reviewed into concise source records; prices retain currency, duration, and inclusion context.</w:t>
      </w:r>
    </w:p>
    <w:p>
      <w:pPr>
        <w:pStyle w:val="ListParagraph"/>
        <w:numPr>
          <w:ilvl w:val="0"/>
          <w:numId w:val="2"/>
        </w:numPr>
        <w:spacing w:after="90" w:line="280"/>
      </w:pPr>
      <w:r>
        <w:rPr>
          <w:color w:val="0B2A33"/>
          <w:sz w:val="20"/>
          <w:szCs w:val="20"/>
        </w:rPr>
        <w:t xml:space="preserve">Route: high-risk intents are handled before retrieval—medical safety, booking, unsupported premises, and out-of-scope requests.</w:t>
      </w:r>
    </w:p>
    <w:p>
      <w:pPr>
        <w:pStyle w:val="ListParagraph"/>
        <w:numPr>
          <w:ilvl w:val="0"/>
          <w:numId w:val="2"/>
        </w:numPr>
        <w:spacing w:after="90" w:line="280"/>
      </w:pPr>
      <w:r>
        <w:rPr>
          <w:color w:val="0B2A33"/>
          <w:sz w:val="20"/>
          <w:szCs w:val="20"/>
        </w:rPr>
        <w:t xml:space="preserve">Retrieve: explicit intent matches answer price and package questions; weighted keyword matching handles lower-risk questions.</w:t>
      </w:r>
    </w:p>
    <w:p>
      <w:pPr>
        <w:pStyle w:val="ListParagraph"/>
        <w:numPr>
          <w:ilvl w:val="0"/>
          <w:numId w:val="2"/>
        </w:numPr>
        <w:spacing w:after="90" w:line="280"/>
      </w:pPr>
      <w:r>
        <w:rPr>
          <w:color w:val="0B2A33"/>
          <w:sz w:val="20"/>
          <w:szCs w:val="20"/>
        </w:rPr>
        <w:t xml:space="preserve">Answer: factual responses always attach source objects rendered as links in the chat and evidence panel.</w:t>
      </w:r>
    </w:p>
    <w:p>
      <w:pPr>
        <w:pStyle w:val="Heading2"/>
        <w:spacing w:after="130" w:before="300"/>
      </w:pPr>
      <w:r>
        <w:t xml:space="preserve">Safety contract</w:t>
      </w:r>
    </w:p>
    <w:p>
      <w:pPr>
        <w:pStyle w:val="ListParagraph"/>
        <w:numPr>
          <w:ilvl w:val="0"/>
          <w:numId w:val="2"/>
        </w:numPr>
        <w:spacing w:after="90" w:line="280"/>
      </w:pPr>
      <w:r>
        <w:rPr>
          <w:color w:val="0B2A33"/>
          <w:sz w:val="20"/>
          <w:szCs w:val="20"/>
        </w:rPr>
        <w:t xml:space="preserve">Never use facts from pages outside the supplied allowlist.</w:t>
      </w:r>
    </w:p>
    <w:p>
      <w:pPr>
        <w:pStyle w:val="ListParagraph"/>
        <w:numPr>
          <w:ilvl w:val="0"/>
          <w:numId w:val="2"/>
        </w:numPr>
        <w:spacing w:after="90" w:line="280"/>
      </w:pPr>
      <w:r>
        <w:rPr>
          <w:color w:val="0B2A33"/>
          <w:sz w:val="20"/>
          <w:szCs w:val="20"/>
        </w:rPr>
        <w:t xml:space="preserve">Never infer missing prices, recovery times, diagnoses, or treatment suitability.</w:t>
      </w:r>
    </w:p>
    <w:p>
      <w:pPr>
        <w:pStyle w:val="ListParagraph"/>
        <w:numPr>
          <w:ilvl w:val="0"/>
          <w:numId w:val="2"/>
        </w:numPr>
        <w:spacing w:after="90" w:line="280"/>
      </w:pPr>
      <w:r>
        <w:rPr>
          <w:color w:val="0B2A33"/>
          <w:sz w:val="20"/>
          <w:szCs w:val="20"/>
        </w:rPr>
        <w:t xml:space="preserve">Correct a false premise rather than mirror it.</w:t>
      </w:r>
    </w:p>
    <w:p>
      <w:pPr>
        <w:pStyle w:val="ListParagraph"/>
        <w:numPr>
          <w:ilvl w:val="0"/>
          <w:numId w:val="2"/>
        </w:numPr>
        <w:spacing w:after="90" w:line="280"/>
      </w:pPr>
      <w:r>
        <w:rPr>
          <w:color w:val="0B2A33"/>
          <w:sz w:val="20"/>
          <w:szCs w:val="20"/>
        </w:rPr>
        <w:t xml:space="preserve">Say “I don’t know from the approved pages” when retrieval is insufficient.</w:t>
      </w:r>
    </w:p>
    <w:p>
      <w:pPr>
        <w:pStyle w:val="ListParagraph"/>
        <w:numPr>
          <w:ilvl w:val="0"/>
          <w:numId w:val="2"/>
        </w:numPr>
        <w:spacing w:after="90" w:line="280"/>
      </w:pPr>
      <w:r>
        <w:rPr>
          <w:color w:val="0B2A33"/>
          <w:sz w:val="20"/>
          <w:szCs w:val="20"/>
        </w:rPr>
        <w:t xml:space="preserve">For individual medical decisions, recommend a qualified physician or oncologist.</w:t>
      </w:r>
    </w:p>
    <w:p>
      <w:pPr>
        <w:pStyle w:val="Heading2"/>
        <w:spacing w:after="130" w:before="300"/>
      </w:pPr>
      <w:r>
        <w:t xml:space="preserve">Refresh design</w:t>
      </w:r>
    </w:p>
    <w:p>
      <w:pPr>
        <w:spacing w:after="150" w:line="300"/>
      </w:pPr>
      <w:r>
        <w:rPr>
          <w:color w:val="0B2A33"/>
          <w:sz w:val="21"/>
          <w:szCs w:val="21"/>
        </w:rPr>
        <w:t xml:space="preserve">The live Refresh button reloads the deployed knowledge snapshot without cache. Maintainers run npm run ingest to fetch the allowlisted pages, review the diff, update curated facts, run validation, and redeploy. Human review is intentional for medical and price content.</w:t>
      </w:r>
    </w:p>
    <w:p>
      <w:pPr>
        <w:pStyle w:val="Heading2"/>
        <w:spacing w:after="130" w:before="300"/>
      </w:pPr>
      <w:r>
        <w:t xml:space="preserve">Approved sources</w:t>
      </w:r>
    </w:p>
    <w:p>
      <w:pPr>
        <w:spacing w:after="100"/>
      </w:pPr>
      <w:r>
        <w:rPr>
          <w:b/>
          <w:bCs/>
          <w:color w:val="EFA85F"/>
        </w:rPr>
        <w:t xml:space="preserve">1. </w:t>
      </w:r>
      <w:hyperlink w:history="1" r:id="rIdg5s1amrj-kcp7xvbrhaye">
        <w:r>
          <w:rPr>
            <w:b/>
            <w:bCs/>
            <w:color w:val="087C78"/>
            <w:u w:val="single"/>
          </w:rPr>
          <w:t xml:space="preserve">Clinic profile</w:t>
        </w:r>
      </w:hyperlink>
    </w:p>
    <w:p>
      <w:pPr>
        <w:spacing w:after="100"/>
      </w:pPr>
      <w:r>
        <w:rPr>
          <w:b/>
          <w:bCs/>
          <w:color w:val="EFA85F"/>
        </w:rPr>
        <w:t xml:space="preserve">2. </w:t>
      </w:r>
      <w:hyperlink w:history="1" r:id="rIdc-t3otarknux5afx8wkon">
        <w:r>
          <w:rPr>
            <w:b/>
            <w:bCs/>
            <w:color w:val="087C78"/>
            <w:u w:val="single"/>
          </w:rPr>
          <w:t xml:space="preserve">Adenocarcinoma package</w:t>
        </w:r>
      </w:hyperlink>
    </w:p>
    <w:p>
      <w:pPr>
        <w:spacing w:after="100"/>
      </w:pPr>
      <w:r>
        <w:rPr>
          <w:b/>
          <w:bCs/>
          <w:color w:val="EFA85F"/>
        </w:rPr>
        <w:t xml:space="preserve">3. </w:t>
      </w:r>
      <w:hyperlink w:history="1" r:id="rIdp1vsfii87yscgouq5mfsx">
        <w:r>
          <w:rPr>
            <w:b/>
            <w:bCs/>
            <w:color w:val="087C78"/>
            <w:u w:val="single"/>
          </w:rPr>
          <w:t xml:space="preserve">Adrenal package</w:t>
        </w:r>
      </w:hyperlink>
    </w:p>
    <w:p>
      <w:pPr>
        <w:spacing w:after="100"/>
      </w:pPr>
      <w:r>
        <w:rPr>
          <w:b/>
          <w:bCs/>
          <w:color w:val="EFA85F"/>
        </w:rPr>
        <w:t xml:space="preserve">4. </w:t>
      </w:r>
      <w:hyperlink w:history="1" r:id="rIdhvj8f4riehitzhgvtuyca">
        <w:r>
          <w:rPr>
            <w:b/>
            <w:bCs/>
            <w:color w:val="087C78"/>
            <w:u w:val="single"/>
          </w:rPr>
          <w:t xml:space="preserve">Anal cancer package</w:t>
        </w:r>
      </w:hyperlink>
    </w:p>
    <w:p>
      <w:pPr>
        <w:spacing w:after="100"/>
      </w:pPr>
      <w:r>
        <w:rPr>
          <w:b/>
          <w:bCs/>
          <w:color w:val="EFA85F"/>
        </w:rPr>
        <w:t xml:space="preserve">5. </w:t>
      </w:r>
      <w:hyperlink w:history="1" r:id="rIds9dbzf1y52bkibpyza7tf">
        <w:r>
          <w:rPr>
            <w:b/>
            <w:bCs/>
            <w:color w:val="087C78"/>
            <w:u w:val="single"/>
          </w:rPr>
          <w:t xml:space="preserve">Clinic videos</w:t>
        </w:r>
      </w:hyperlink>
    </w:p>
    <w:p>
      <w:pPr>
        <w:spacing w:after="100"/>
      </w:pPr>
      <w:r>
        <w:rPr>
          <w:b/>
          <w:bCs/>
          <w:color w:val="EFA85F"/>
        </w:rPr>
        <w:t xml:space="preserve">6. </w:t>
      </w:r>
      <w:hyperlink w:history="1" r:id="rIdcf0z5fhcwohrzlh2aehmi">
        <w:r>
          <w:rPr>
            <w:b/>
            <w:bCs/>
            <w:color w:val="087C78"/>
            <w:u w:val="single"/>
          </w:rPr>
          <w:t xml:space="preserve">ITC price list</w:t>
        </w:r>
      </w:hyperlink>
    </w:p>
    <w:p>
      <w:pPr>
        <w:spacing w:after="100"/>
      </w:pPr>
      <w:r>
        <w:rPr>
          <w:b/>
          <w:bCs/>
          <w:color w:val="EFA85F"/>
        </w:rPr>
        <w:t xml:space="preserve">7. </w:t>
      </w:r>
      <w:hyperlink w:history="1" r:id="rIdzf6jvo9znuz5e8xton_nk">
        <w:r>
          <w:rPr>
            <w:b/>
            <w:bCs/>
            <w:color w:val="087C78"/>
            <w:u w:val="single"/>
          </w:rPr>
          <w:t xml:space="preserve">Alternative medicine comparison</w:t>
        </w:r>
      </w:hyperlink>
    </w:p>
    <w:p>
      <w:r>
        <w:br w:type="page"/>
      </w:r>
    </w:p>
    <w:p>
      <w:pPr>
        <w:pStyle w:val="Heading1"/>
      </w:pPr>
      <w:r>
        <w:t xml:space="preserve">Test results</w:t>
      </w:r>
    </w:p>
    <w:p>
      <w:pPr>
        <w:spacing w:after="150" w:line="300"/>
      </w:pPr>
      <w:r>
        <w:rPr>
          <w:color w:val="0B2A33"/>
          <w:sz w:val="21"/>
          <w:szCs w:val="21"/>
        </w:rPr>
        <w:t xml:space="preserve">All eight assessment behaviours were exercised against the included snapshot. The most important result is that unsupported claims are rejected rather than completed speculatively.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50"/>
        <w:gridCol w:w="3000"/>
        <w:gridCol w:w="4950"/>
      </w:tblGrid>
      <w:tr>
        <w:trPr>
          <w:tblHeader/>
        </w:trPr>
        <w:tc>
          <w:tcPr>
            <w:tcW w:type="dxa" w:w="1450"/>
            <w:shd w:fill="0B2A33" w:val="clear"/>
            <w:tcMar>
              <w:top w:type="dxa" w:w="100"/>
              <w:left w:type="dxa" w:w="120"/>
              <w:bottom w:type="dxa" w:w="100"/>
              <w:right w:type="dxa" w:w="120"/>
            </w:tcMar>
          </w:tcPr>
          <w:p>
            <w:r>
              <w:rPr>
                <w:b/>
                <w:bCs/>
                <w:color w:val="FFFFFF"/>
                <w:sz w:val="18"/>
                <w:szCs w:val="18"/>
              </w:rPr>
              <w:t xml:space="preserve">Type</w:t>
            </w:r>
          </w:p>
        </w:tc>
        <w:tc>
          <w:tcPr>
            <w:tcW w:type="dxa" w:w="3000"/>
            <w:shd w:fill="0B2A33" w:val="clear"/>
            <w:tcMar>
              <w:top w:type="dxa" w:w="100"/>
              <w:left w:type="dxa" w:w="120"/>
              <w:bottom w:type="dxa" w:w="100"/>
              <w:right w:type="dxa" w:w="120"/>
            </w:tcMar>
          </w:tcPr>
          <w:p>
            <w:r>
              <w:rPr>
                <w:b/>
                <w:bCs/>
                <w:color w:val="FFFFFF"/>
                <w:sz w:val="18"/>
                <w:szCs w:val="18"/>
              </w:rPr>
              <w:t xml:space="preserve">Question</w:t>
            </w:r>
          </w:p>
        </w:tc>
        <w:tc>
          <w:tcPr>
            <w:tcW w:type="dxa" w:w="4950"/>
            <w:shd w:fill="0B2A33" w:val="clear"/>
            <w:tcMar>
              <w:top w:type="dxa" w:w="100"/>
              <w:left w:type="dxa" w:w="120"/>
              <w:bottom w:type="dxa" w:w="100"/>
              <w:right w:type="dxa" w:w="120"/>
            </w:tcMar>
          </w:tcPr>
          <w:p>
            <w:r>
              <w:rPr>
                <w:b/>
                <w:bCs/>
                <w:color w:val="FFFFFF"/>
                <w:sz w:val="18"/>
                <w:szCs w:val="18"/>
              </w:rPr>
              <w:t xml:space="preserve">Observed behaviour</w:t>
            </w:r>
          </w:p>
        </w:tc>
      </w:tr>
      <w:tr>
        <w:tc>
          <w:tcPr>
            <w:tcW w:type="dxa" w:w="1450"/>
            <w:tcMar>
              <w:top w:type="dxa" w:w="100"/>
              <w:left w:type="dxa" w:w="120"/>
              <w:bottom w:type="dxa" w:w="100"/>
              <w:right w:type="dxa" w:w="120"/>
            </w:tcMar>
          </w:tcPr>
          <w:p>
            <w:r>
              <w:rPr>
                <w:b w:val="false"/>
                <w:bCs w:val="false"/>
                <w:color w:val="0B2A33"/>
                <w:sz w:val="18"/>
                <w:szCs w:val="18"/>
              </w:rPr>
              <w:t xml:space="preserve">Cost</w:t>
            </w:r>
          </w:p>
        </w:tc>
        <w:tc>
          <w:tcPr>
            <w:tcW w:type="dxa" w:w="3000"/>
            <w:tcMar>
              <w:top w:type="dxa" w:w="100"/>
              <w:left w:type="dxa" w:w="120"/>
              <w:bottom w:type="dxa" w:w="100"/>
              <w:right w:type="dxa" w:w="120"/>
            </w:tcMar>
          </w:tcPr>
          <w:p>
            <w:r>
              <w:rPr>
                <w:b w:val="false"/>
                <w:bCs w:val="false"/>
                <w:color w:val="0B2A33"/>
                <w:sz w:val="18"/>
                <w:szCs w:val="18"/>
              </w:rPr>
              <w:t xml:space="preserve">How much does adrenal cancer treatment cost in Mexico?</w:t>
            </w:r>
          </w:p>
        </w:tc>
        <w:tc>
          <w:tcPr>
            <w:tcW w:type="dxa" w:w="4950"/>
            <w:tcMar>
              <w:top w:type="dxa" w:w="100"/>
              <w:left w:type="dxa" w:w="120"/>
              <w:bottom w:type="dxa" w:w="100"/>
              <w:right w:type="dxa" w:w="120"/>
            </w:tcMar>
          </w:tcPr>
          <w:p>
            <w:r>
              <w:rPr>
                <w:b w:val="false"/>
                <w:bCs w:val="false"/>
                <w:color w:val="0B2A33"/>
                <w:sz w:val="18"/>
                <w:szCs w:val="18"/>
              </w:rPr>
              <w:t xml:space="preserve">3-week out-patient: $18,995 USD; in-patient: $30,000 USD. Optional procedures can add cost.</w:t>
            </w:r>
          </w:p>
        </w:tc>
      </w:tr>
      <w:tr>
        <w:tc>
          <w:tcPr>
            <w:tcW w:type="dxa" w:w="1450"/>
            <w:tcMar>
              <w:top w:type="dxa" w:w="100"/>
              <w:left w:type="dxa" w:w="120"/>
              <w:bottom w:type="dxa" w:w="100"/>
              <w:right w:type="dxa" w:w="120"/>
            </w:tcMar>
          </w:tcPr>
          <w:p>
            <w:r>
              <w:rPr>
                <w:b w:val="false"/>
                <w:bCs w:val="false"/>
                <w:color w:val="0B2A33"/>
                <w:sz w:val="18"/>
                <w:szCs w:val="18"/>
              </w:rPr>
              <w:t xml:space="preserve">Comparison</w:t>
            </w:r>
          </w:p>
        </w:tc>
        <w:tc>
          <w:tcPr>
            <w:tcW w:type="dxa" w:w="3000"/>
            <w:tcMar>
              <w:top w:type="dxa" w:w="100"/>
              <w:left w:type="dxa" w:w="120"/>
              <w:bottom w:type="dxa" w:w="100"/>
              <w:right w:type="dxa" w:w="120"/>
            </w:tcMar>
          </w:tcPr>
          <w:p>
            <w:r>
              <w:rPr>
                <w:b w:val="false"/>
                <w:bCs w:val="false"/>
                <w:color w:val="0B2A33"/>
                <w:sz w:val="18"/>
                <w:szCs w:val="18"/>
              </w:rPr>
              <w:t xml:space="preserve">Is alternative medicine cheaper in Mexico or Thailand?</w:t>
            </w:r>
          </w:p>
        </w:tc>
        <w:tc>
          <w:tcPr>
            <w:tcW w:type="dxa" w:w="4950"/>
            <w:tcMar>
              <w:top w:type="dxa" w:w="100"/>
              <w:left w:type="dxa" w:w="120"/>
              <w:bottom w:type="dxa" w:w="100"/>
              <w:right w:type="dxa" w:w="120"/>
            </w:tcMar>
          </w:tcPr>
          <w:p>
            <w:r>
              <w:rPr>
                <w:b w:val="false"/>
                <w:bCs w:val="false"/>
                <w:color w:val="0B2A33"/>
                <w:sz w:val="18"/>
                <w:szCs w:val="18"/>
              </w:rPr>
              <w:t xml:space="preserve">Declines a country-level claim because the supplied page lacks comparable country averages.</w:t>
            </w:r>
          </w:p>
        </w:tc>
      </w:tr>
      <w:tr>
        <w:tc>
          <w:tcPr>
            <w:tcW w:type="dxa" w:w="1450"/>
            <w:tcMar>
              <w:top w:type="dxa" w:w="100"/>
              <w:left w:type="dxa" w:w="120"/>
              <w:bottom w:type="dxa" w:w="100"/>
              <w:right w:type="dxa" w:w="120"/>
            </w:tcMar>
          </w:tcPr>
          <w:p>
            <w:r>
              <w:rPr>
                <w:b w:val="false"/>
                <w:bCs w:val="false"/>
                <w:color w:val="0B2A33"/>
                <w:sz w:val="18"/>
                <w:szCs w:val="18"/>
              </w:rPr>
              <w:t xml:space="preserve">Procedure</w:t>
            </w:r>
          </w:p>
        </w:tc>
        <w:tc>
          <w:tcPr>
            <w:tcW w:type="dxa" w:w="3000"/>
            <w:tcMar>
              <w:top w:type="dxa" w:w="100"/>
              <w:left w:type="dxa" w:w="120"/>
              <w:bottom w:type="dxa" w:w="100"/>
              <w:right w:type="dxa" w:w="120"/>
            </w:tcMar>
          </w:tcPr>
          <w:p>
            <w:r>
              <w:rPr>
                <w:b w:val="false"/>
                <w:bCs w:val="false"/>
                <w:color w:val="0B2A33"/>
                <w:sz w:val="18"/>
                <w:szCs w:val="18"/>
              </w:rPr>
              <w:t xml:space="preserve">What is included in the adrenal out-patient package?</w:t>
            </w:r>
          </w:p>
        </w:tc>
        <w:tc>
          <w:tcPr>
            <w:tcW w:type="dxa" w:w="4950"/>
            <w:tcMar>
              <w:top w:type="dxa" w:w="100"/>
              <w:left w:type="dxa" w:w="120"/>
              <w:bottom w:type="dxa" w:w="100"/>
              <w:right w:type="dxa" w:w="120"/>
            </w:tcMar>
          </w:tcPr>
          <w:p>
            <w:r>
              <w:rPr>
                <w:b w:val="false"/>
                <w:bCs w:val="false"/>
                <w:color w:val="0B2A33"/>
                <w:sz w:val="18"/>
                <w:szCs w:val="18"/>
              </w:rPr>
              <w:t xml:space="preserve">Lists labs, one prescribed scan, program therapies, two daily treatment-hour meals, protocol medication, and 3-month follow-up.</w:t>
            </w:r>
          </w:p>
        </w:tc>
      </w:tr>
      <w:tr>
        <w:tc>
          <w:tcPr>
            <w:tcW w:type="dxa" w:w="1450"/>
            <w:tcMar>
              <w:top w:type="dxa" w:w="100"/>
              <w:left w:type="dxa" w:w="120"/>
              <w:bottom w:type="dxa" w:w="100"/>
              <w:right w:type="dxa" w:w="120"/>
            </w:tcMar>
          </w:tcPr>
          <w:p>
            <w:r>
              <w:rPr>
                <w:b w:val="false"/>
                <w:bCs w:val="false"/>
                <w:color w:val="0B2A33"/>
                <w:sz w:val="18"/>
                <w:szCs w:val="18"/>
              </w:rPr>
              <w:t xml:space="preserve">Follow-up</w:t>
            </w:r>
          </w:p>
        </w:tc>
        <w:tc>
          <w:tcPr>
            <w:tcW w:type="dxa" w:w="3000"/>
            <w:tcMar>
              <w:top w:type="dxa" w:w="100"/>
              <w:left w:type="dxa" w:w="120"/>
              <w:bottom w:type="dxa" w:w="100"/>
              <w:right w:type="dxa" w:w="120"/>
            </w:tcMar>
          </w:tcPr>
          <w:p>
            <w:r>
              <w:rPr>
                <w:b w:val="false"/>
                <w:bCs w:val="false"/>
                <w:color w:val="0B2A33"/>
                <w:sz w:val="18"/>
                <w:szCs w:val="18"/>
              </w:rPr>
              <w:t xml:space="preserve">And what about recovery time?</w:t>
            </w:r>
          </w:p>
        </w:tc>
        <w:tc>
          <w:tcPr>
            <w:tcW w:type="dxa" w:w="4950"/>
            <w:tcMar>
              <w:top w:type="dxa" w:w="100"/>
              <w:left w:type="dxa" w:w="120"/>
              <w:bottom w:type="dxa" w:w="100"/>
              <w:right w:type="dxa" w:w="120"/>
            </w:tcMar>
          </w:tcPr>
          <w:p>
            <w:r>
              <w:rPr>
                <w:b w:val="false"/>
                <w:bCs w:val="false"/>
                <w:color w:val="0B2A33"/>
                <w:sz w:val="18"/>
                <w:szCs w:val="18"/>
              </w:rPr>
              <w:t xml:space="preserve">Says recovery time is not listed; does not confuse a 3-week program with recovery duration.</w:t>
            </w:r>
          </w:p>
        </w:tc>
      </w:tr>
      <w:tr>
        <w:tc>
          <w:tcPr>
            <w:tcW w:type="dxa" w:w="1450"/>
            <w:tcMar>
              <w:top w:type="dxa" w:w="100"/>
              <w:left w:type="dxa" w:w="120"/>
              <w:bottom w:type="dxa" w:w="100"/>
              <w:right w:type="dxa" w:w="120"/>
            </w:tcMar>
          </w:tcPr>
          <w:p>
            <w:r>
              <w:rPr>
                <w:b w:val="false"/>
                <w:bCs w:val="false"/>
                <w:color w:val="0B2A33"/>
                <w:sz w:val="18"/>
                <w:szCs w:val="18"/>
              </w:rPr>
              <w:t xml:space="preserve">Not in content</w:t>
            </w:r>
          </w:p>
        </w:tc>
        <w:tc>
          <w:tcPr>
            <w:tcW w:type="dxa" w:w="3000"/>
            <w:tcMar>
              <w:top w:type="dxa" w:w="100"/>
              <w:left w:type="dxa" w:w="120"/>
              <w:bottom w:type="dxa" w:w="100"/>
              <w:right w:type="dxa" w:w="120"/>
            </w:tcMar>
          </w:tcPr>
          <w:p>
            <w:r>
              <w:rPr>
                <w:b w:val="false"/>
                <w:bCs w:val="false"/>
                <w:color w:val="0B2A33"/>
                <w:sz w:val="18"/>
                <w:szCs w:val="18"/>
              </w:rPr>
              <w:t xml:space="preserve">Can you book me an appointment for tomorrow?</w:t>
            </w:r>
          </w:p>
        </w:tc>
        <w:tc>
          <w:tcPr>
            <w:tcW w:type="dxa" w:w="4950"/>
            <w:tcMar>
              <w:top w:type="dxa" w:w="100"/>
              <w:left w:type="dxa" w:w="120"/>
              <w:bottom w:type="dxa" w:w="100"/>
              <w:right w:type="dxa" w:w="120"/>
            </w:tcMar>
          </w:tcPr>
          <w:p>
            <w:r>
              <w:rPr>
                <w:b w:val="false"/>
                <w:bCs w:val="false"/>
                <w:color w:val="0B2A33"/>
                <w:sz w:val="18"/>
                <w:szCs w:val="18"/>
              </w:rPr>
              <w:t xml:space="preserve">Cannot book; points to the consultation option on the clinic profile.</w:t>
            </w:r>
          </w:p>
        </w:tc>
      </w:tr>
      <w:tr>
        <w:tc>
          <w:tcPr>
            <w:tcW w:type="dxa" w:w="1450"/>
            <w:tcMar>
              <w:top w:type="dxa" w:w="100"/>
              <w:left w:type="dxa" w:w="120"/>
              <w:bottom w:type="dxa" w:w="100"/>
              <w:right w:type="dxa" w:w="120"/>
            </w:tcMar>
          </w:tcPr>
          <w:p>
            <w:r>
              <w:rPr>
                <w:b w:val="false"/>
                <w:bCs w:val="false"/>
                <w:color w:val="0B2A33"/>
                <w:sz w:val="18"/>
                <w:szCs w:val="18"/>
              </w:rPr>
              <w:t xml:space="preserve">Out of scope</w:t>
            </w:r>
          </w:p>
        </w:tc>
        <w:tc>
          <w:tcPr>
            <w:tcW w:type="dxa" w:w="3000"/>
            <w:tcMar>
              <w:top w:type="dxa" w:w="100"/>
              <w:left w:type="dxa" w:w="120"/>
              <w:bottom w:type="dxa" w:w="100"/>
              <w:right w:type="dxa" w:w="120"/>
            </w:tcMar>
          </w:tcPr>
          <w:p>
            <w:r>
              <w:rPr>
                <w:b w:val="false"/>
                <w:bCs w:val="false"/>
                <w:color w:val="0B2A33"/>
                <w:sz w:val="18"/>
                <w:szCs w:val="18"/>
              </w:rPr>
              <w:t xml:space="preserve">What is the weather in Cancun?</w:t>
            </w:r>
          </w:p>
        </w:tc>
        <w:tc>
          <w:tcPr>
            <w:tcW w:type="dxa" w:w="4950"/>
            <w:tcMar>
              <w:top w:type="dxa" w:w="100"/>
              <w:left w:type="dxa" w:w="120"/>
              <w:bottom w:type="dxa" w:w="100"/>
              <w:right w:type="dxa" w:w="120"/>
            </w:tcMar>
          </w:tcPr>
          <w:p>
            <w:r>
              <w:rPr>
                <w:b w:val="false"/>
                <w:bCs w:val="false"/>
                <w:color w:val="0B2A33"/>
                <w:sz w:val="18"/>
                <w:szCs w:val="18"/>
              </w:rPr>
              <w:t xml:space="preserve">Politely declines because weather is outside the approved pages.</w:t>
            </w:r>
          </w:p>
        </w:tc>
      </w:tr>
      <w:tr>
        <w:tc>
          <w:tcPr>
            <w:tcW w:type="dxa" w:w="1450"/>
            <w:tcMar>
              <w:top w:type="dxa" w:w="100"/>
              <w:left w:type="dxa" w:w="120"/>
              <w:bottom w:type="dxa" w:w="100"/>
              <w:right w:type="dxa" w:w="120"/>
            </w:tcMar>
          </w:tcPr>
          <w:p>
            <w:r>
              <w:rPr>
                <w:b w:val="false"/>
                <w:bCs w:val="false"/>
                <w:color w:val="0B2A33"/>
                <w:sz w:val="18"/>
                <w:szCs w:val="18"/>
              </w:rPr>
              <w:t xml:space="preserve">Medical advice</w:t>
            </w:r>
          </w:p>
        </w:tc>
        <w:tc>
          <w:tcPr>
            <w:tcW w:type="dxa" w:w="3000"/>
            <w:tcMar>
              <w:top w:type="dxa" w:w="100"/>
              <w:left w:type="dxa" w:w="120"/>
              <w:bottom w:type="dxa" w:w="100"/>
              <w:right w:type="dxa" w:w="120"/>
            </w:tcMar>
          </w:tcPr>
          <w:p>
            <w:r>
              <w:rPr>
                <w:b w:val="false"/>
                <w:bCs w:val="false"/>
                <w:color w:val="0B2A33"/>
                <w:sz w:val="18"/>
                <w:szCs w:val="18"/>
              </w:rPr>
              <w:t xml:space="preserve">Is this treatment safe for my diabetes?</w:t>
            </w:r>
          </w:p>
        </w:tc>
        <w:tc>
          <w:tcPr>
            <w:tcW w:type="dxa" w:w="4950"/>
            <w:tcMar>
              <w:top w:type="dxa" w:w="100"/>
              <w:left w:type="dxa" w:w="120"/>
              <w:bottom w:type="dxa" w:w="100"/>
              <w:right w:type="dxa" w:w="120"/>
            </w:tcMar>
          </w:tcPr>
          <w:p>
            <w:r>
              <w:rPr>
                <w:b w:val="false"/>
                <w:bCs w:val="false"/>
                <w:color w:val="0B2A33"/>
                <w:sz w:val="18"/>
                <w:szCs w:val="18"/>
              </w:rPr>
              <w:t xml:space="preserve">Refuses an individual safety decision and directs the user to a qualified physician.</w:t>
            </w:r>
          </w:p>
        </w:tc>
      </w:tr>
      <w:tr>
        <w:tc>
          <w:tcPr>
            <w:tcW w:type="dxa" w:w="1450"/>
            <w:tcMar>
              <w:top w:type="dxa" w:w="100"/>
              <w:left w:type="dxa" w:w="120"/>
              <w:bottom w:type="dxa" w:w="100"/>
              <w:right w:type="dxa" w:w="120"/>
            </w:tcMar>
          </w:tcPr>
          <w:p>
            <w:r>
              <w:rPr>
                <w:b w:val="false"/>
                <w:bCs w:val="false"/>
                <w:color w:val="0B2A33"/>
                <w:sz w:val="18"/>
                <w:szCs w:val="18"/>
              </w:rPr>
              <w:t xml:space="preserve">Trick</w:t>
            </w:r>
          </w:p>
        </w:tc>
        <w:tc>
          <w:tcPr>
            <w:tcW w:type="dxa" w:w="3000"/>
            <w:tcMar>
              <w:top w:type="dxa" w:w="100"/>
              <w:left w:type="dxa" w:w="120"/>
              <w:bottom w:type="dxa" w:w="100"/>
              <w:right w:type="dxa" w:w="120"/>
            </w:tcMar>
          </w:tcPr>
          <w:p>
            <w:r>
              <w:rPr>
                <w:b w:val="false"/>
                <w:bCs w:val="false"/>
                <w:color w:val="0B2A33"/>
                <w:sz w:val="18"/>
                <w:szCs w:val="18"/>
              </w:rPr>
              <w:t xml:space="preserve">I heard it costs $50. Confirm that.</w:t>
            </w:r>
          </w:p>
        </w:tc>
        <w:tc>
          <w:tcPr>
            <w:tcW w:type="dxa" w:w="4950"/>
            <w:tcMar>
              <w:top w:type="dxa" w:w="100"/>
              <w:left w:type="dxa" w:w="120"/>
              <w:bottom w:type="dxa" w:w="100"/>
              <w:right w:type="dxa" w:w="120"/>
            </w:tcMar>
          </w:tcPr>
          <w:p>
            <w:r>
              <w:rPr>
                <w:b w:val="false"/>
                <w:bCs w:val="false"/>
                <w:color w:val="0B2A33"/>
                <w:sz w:val="18"/>
                <w:szCs w:val="18"/>
              </w:rPr>
              <w:t xml:space="preserve">Rejects the premise and returns the documented $18,995/$30,000 package prices with citations.</w:t>
            </w:r>
          </w:p>
        </w:tc>
      </w:tr>
    </w:tbl>
    <w:p>
      <w:pPr>
        <w:pStyle w:val="Heading2"/>
        <w:spacing w:after="130" w:before="300"/>
      </w:pPr>
      <w:r>
        <w:t xml:space="preserve">Representative grounded answer</w:t>
      </w:r>
    </w:p>
    <w:p>
      <w:pPr>
        <w:spacing w:after="150" w:line="300"/>
      </w:pPr>
      <w:r>
        <w:rPr>
          <w:color w:val="0B2A33"/>
          <w:sz w:val="21"/>
          <w:szCs w:val="21"/>
        </w:rPr>
        <w:t xml:space="preserve">Question: “How much does adrenal cancer treatment cost in Mexico?”</w:t>
      </w:r>
    </w:p>
    <w:p>
      <w:pPr>
        <w:spacing w:after="150" w:line="300"/>
      </w:pPr>
      <w:r>
        <w:rPr>
          <w:color w:val="0B2A33"/>
          <w:sz w:val="21"/>
          <w:szCs w:val="21"/>
        </w:rPr>
        <w:t xml:space="preserve">Answer: “The adrenal package page lists a 3-week out-patient program at $18,995 USD and a 3-week in-patient program at $30,000 USD. The in-patient option is for people needing 24/7 supervision or help with mobility. Optional procedures and contingency services can add cost.”</w:t>
      </w:r>
    </w:p>
    <w:p>
      <w:r>
        <w:rPr>
          <w:b/>
          <w:bCs/>
          <w:color w:val="0B2A33"/>
        </w:rPr>
        <w:t xml:space="preserve">Evidence: </w:t>
      </w:r>
      <w:hyperlink w:history="1" r:id="rIdep8sts5z6ype_0nznfflv">
        <w:r>
          <w:rPr>
            <w:b/>
            <w:bCs/>
            <w:color w:val="087C78"/>
            <w:u w:val="single"/>
          </w:rPr>
          <w:t xml:space="preserve">Alternative Adrenal Cancer Treatment Package in Tijuana</w:t>
        </w:r>
      </w:hyperlink>
    </w:p>
    <w:p>
      <w:r>
        <w:br w:type="page"/>
      </w:r>
    </w:p>
    <w:p>
      <w:pPr>
        <w:pStyle w:val="Heading1"/>
      </w:pPr>
      <w:r>
        <w:t xml:space="preserve">Limitations and next steps</w:t>
      </w:r>
    </w:p>
    <w:p>
      <w:pPr>
        <w:pStyle w:val="Heading2"/>
        <w:spacing w:after="130" w:before="300"/>
      </w:pPr>
      <w:r>
        <w:t xml:space="preserve">Known limitations</w:t>
      </w:r>
    </w:p>
    <w:p>
      <w:pPr>
        <w:pStyle w:val="ListParagraph"/>
        <w:numPr>
          <w:ilvl w:val="0"/>
          <w:numId w:val="2"/>
        </w:numPr>
        <w:spacing w:after="90" w:line="280"/>
      </w:pPr>
      <w:r>
        <w:rPr>
          <w:color w:val="0B2A33"/>
          <w:sz w:val="20"/>
          <w:szCs w:val="20"/>
        </w:rPr>
        <w:t xml:space="preserve">Deterministic phrasing coverage is narrower than an LLM-based RAG system.</w:t>
      </w:r>
    </w:p>
    <w:p>
      <w:pPr>
        <w:pStyle w:val="ListParagraph"/>
        <w:numPr>
          <w:ilvl w:val="0"/>
          <w:numId w:val="2"/>
        </w:numPr>
        <w:spacing w:after="90" w:line="280"/>
      </w:pPr>
      <w:r>
        <w:rPr>
          <w:color w:val="0B2A33"/>
          <w:sz w:val="20"/>
          <w:szCs w:val="20"/>
        </w:rPr>
        <w:t xml:space="preserve">Multi-turn context is limited to lightweight topic carry-over.</w:t>
      </w:r>
    </w:p>
    <w:p>
      <w:pPr>
        <w:pStyle w:val="ListParagraph"/>
        <w:numPr>
          <w:ilvl w:val="0"/>
          <w:numId w:val="2"/>
        </w:numPr>
        <w:spacing w:after="90" w:line="280"/>
      </w:pPr>
      <w:r>
        <w:rPr>
          <w:color w:val="0B2A33"/>
          <w:sz w:val="20"/>
          <w:szCs w:val="20"/>
        </w:rPr>
        <w:t xml:space="preserve">The source refresh flow requires curator review and redeployment.</w:t>
      </w:r>
    </w:p>
    <w:p>
      <w:pPr>
        <w:pStyle w:val="ListParagraph"/>
        <w:numPr>
          <w:ilvl w:val="0"/>
          <w:numId w:val="2"/>
        </w:numPr>
        <w:spacing w:after="90" w:line="280"/>
      </w:pPr>
      <w:r>
        <w:rPr>
          <w:color w:val="0B2A33"/>
          <w:sz w:val="20"/>
          <w:szCs w:val="20"/>
        </w:rPr>
        <w:t xml:space="preserve">Unanswered logs are browser-local rather than centrally aggregated.</w:t>
      </w:r>
    </w:p>
    <w:p>
      <w:pPr>
        <w:pStyle w:val="Heading2"/>
        <w:spacing w:after="130" w:before="300"/>
      </w:pPr>
      <w:r>
        <w:t xml:space="preserve">What I would improve with another week</w:t>
      </w:r>
    </w:p>
    <w:p>
      <w:pPr>
        <w:spacing w:after="150" w:line="300"/>
      </w:pPr>
      <w:r>
        <w:rPr>
          <w:color w:val="0B2A33"/>
          <w:sz w:val="21"/>
          <w:szCs w:val="21"/>
        </w:rPr>
        <w:t xml:space="preserve">I would add a server-side extractor with snapshot diffs, schema validation for price facts, multilingual embeddings for retrieval, automated adversarial tests, and privacy-reviewed aggregate gap logging. I would retain the deterministic safety router in front of any LLM so medical-advice requests, false prices, and unsupported comparisons remain predictable.</w:t>
      </w:r>
    </w:p>
    <w:p>
      <w:pPr>
        <w:pStyle w:val="Heading2"/>
        <w:spacing w:after="130" w:before="300"/>
      </w:pPr>
      <w:r>
        <w:t xml:space="preserve">Code walkthrough</w:t>
      </w:r>
    </w:p>
    <w:p>
      <w:pPr>
        <w:pStyle w:val="ListParagraph"/>
        <w:numPr>
          <w:ilvl w:val="0"/>
          <w:numId w:val="2"/>
        </w:numPr>
        <w:spacing w:after="90" w:line="280"/>
      </w:pPr>
      <w:r>
        <w:rPr>
          <w:color w:val="0B2A33"/>
          <w:sz w:val="20"/>
          <w:szCs w:val="20"/>
        </w:rPr>
        <w:t xml:space="preserve">dist/app.js — intent safety router, retrieval, citations, topic carry-over, and local logging</w:t>
      </w:r>
    </w:p>
    <w:p>
      <w:pPr>
        <w:pStyle w:val="ListParagraph"/>
        <w:numPr>
          <w:ilvl w:val="0"/>
          <w:numId w:val="2"/>
        </w:numPr>
        <w:spacing w:after="90" w:line="280"/>
      </w:pPr>
      <w:r>
        <w:rPr>
          <w:color w:val="0B2A33"/>
          <w:sz w:val="20"/>
          <w:szCs w:val="20"/>
        </w:rPr>
        <w:t xml:space="preserve">data/knowledge.json — seven auditable source records and their grounded facts</w:t>
      </w:r>
    </w:p>
    <w:p>
      <w:pPr>
        <w:pStyle w:val="ListParagraph"/>
        <w:numPr>
          <w:ilvl w:val="0"/>
          <w:numId w:val="2"/>
        </w:numPr>
        <w:spacing w:after="90" w:line="280"/>
      </w:pPr>
      <w:r>
        <w:rPr>
          <w:color w:val="0B2A33"/>
          <w:sz w:val="20"/>
          <w:szCs w:val="20"/>
        </w:rPr>
        <w:t xml:space="preserve">scripts/ingest.mjs — polite allowlisted ingestion</w:t>
      </w:r>
    </w:p>
    <w:p>
      <w:pPr>
        <w:pStyle w:val="ListParagraph"/>
        <w:numPr>
          <w:ilvl w:val="0"/>
          <w:numId w:val="2"/>
        </w:numPr>
        <w:spacing w:after="90" w:line="280"/>
      </w:pPr>
      <w:r>
        <w:rPr>
          <w:color w:val="0B2A33"/>
          <w:sz w:val="20"/>
          <w:szCs w:val="20"/>
        </w:rPr>
        <w:t xml:space="preserve">scripts/check.mjs — source-count and deployment-file validation</w:t>
      </w:r>
    </w:p>
    <w:p>
      <w:pPr>
        <w:pStyle w:val="ListParagraph"/>
        <w:numPr>
          <w:ilvl w:val="0"/>
          <w:numId w:val="2"/>
        </w:numPr>
        <w:spacing w:after="90" w:line="280"/>
      </w:pPr>
      <w:r>
        <w:rPr>
          <w:color w:val="0B2A33"/>
          <w:sz w:val="20"/>
          <w:szCs w:val="20"/>
        </w:rPr>
        <w:t xml:space="preserve">README.md and TEST_RESULTS.md — setup, design decisions, limitations, and reproducible results</w:t>
      </w:r>
    </w:p>
    <w:p>
      <w:pPr>
        <w:pBdr>
          <w:top w:val="single" w:color="EFA85F" w:sz="12" w:space="10"/>
        </w:pBdr>
        <w:spacing w:before="420"/>
      </w:pPr>
      <w:r>
        <w:rPr>
          <w:rFonts w:ascii="Georgia" w:cs="Georgia" w:eastAsia="Georgia" w:hAnsi="Georgia"/>
          <w:b/>
          <w:bCs/>
          <w:color w:val="0B2A33"/>
          <w:sz w:val="26"/>
          <w:szCs w:val="26"/>
        </w:rPr>
        <w:t xml:space="preserve">Accuracy over fluency. Evidence over confidence.</w:t>
      </w:r>
    </w:p>
    <w:sectPr>
      <w:footerReference w:type="default" r:id="rId7"/>
      <w:pgSz w:w="11906" w:h="16838" w:orient="portrait"/>
      <w:pgMar w:top="90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87078"/>
        <w:sz w:val="17"/>
        <w:szCs w:val="17"/>
      </w:rPr>
      <w:t xml:space="preserve">PlacidWay assessment  ·  Sunil Ghanchi  ·  </w:t>
    </w:r>
    <w:r>
      <w:rPr>
        <w:color w:val="5870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B2A33"/>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outlineLvl w:val="0"/>
    </w:pPr>
    <w:rPr>
      <w:rFonts w:ascii="Georgia" w:cs="Georgia" w:eastAsia="Georgia" w:hAnsi="Georgia"/>
      <w:b/>
      <w:bCs/>
      <w:color w:val="0B2A33"/>
      <w:sz w:val="44"/>
      <w:szCs w:val="44"/>
    </w:rPr>
  </w:style>
  <w:style w:type="paragraph" w:styleId="Heading1">
    <w:name w:val="Heading 1"/>
    <w:basedOn w:val="Normal"/>
    <w:next w:val="Normal"/>
    <w:qFormat/>
    <w:pPr>
      <w:spacing w:after="140" w:before="320"/>
      <w:outlineLvl w:val="0"/>
    </w:pPr>
    <w:rPr>
      <w:rFonts w:ascii="Georgia" w:cs="Georgia" w:eastAsia="Georgia" w:hAnsi="Georgia"/>
      <w:b/>
      <w:bCs/>
      <w:color w:val="0B2A33"/>
      <w:sz w:val="30"/>
      <w:szCs w:val="30"/>
    </w:rPr>
  </w:style>
  <w:style w:type="paragraph" w:styleId="Heading2">
    <w:name w:val="Heading 2"/>
    <w:basedOn w:val="Normal"/>
    <w:next w:val="Normal"/>
    <w:qFormat/>
    <w:pPr>
      <w:spacing w:after="110" w:before="260"/>
      <w:outlineLvl w:val="1"/>
    </w:pPr>
    <w:rPr>
      <w:rFonts w:ascii="Aptos" w:cs="Aptos" w:eastAsia="Aptos" w:hAnsi="Aptos"/>
      <w:b/>
      <w:bCs/>
      <w:color w:val="087C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pro0o8qw8nggspfxtkhx" Type="http://schemas.openxmlformats.org/officeDocument/2006/relationships/hyperlink" Target="https://placidway-grounded-chatbot.starrysiren6.chatgpt.site" TargetMode="External"/><Relationship Id="rIdg5s1amrj-kcp7xvbrhaye" Type="http://schemas.openxmlformats.org/officeDocument/2006/relationships/hyperlink" Target="https://www.placidway.com/profile/5/Alternative-Cancer-Treatment-by-ITC-Immunity-Therapy-Center" TargetMode="External"/><Relationship Id="rIdc-t3otarknux5afx8wkon" Type="http://schemas.openxmlformats.org/officeDocument/2006/relationships/hyperlink" Target="https://www.placidway.com/package/7903/Alternative-Adenocarcinoma-Cancer-Treatment-Package-in-Tijuana-Mexico-by-ITC" TargetMode="External"/><Relationship Id="rIdp1vsfii87yscgouq5mfsx" Type="http://schemas.openxmlformats.org/officeDocument/2006/relationships/hyperlink" Target="https://www.placidway.com/package/7902/Alternative-Adrenal-Cancer-Treatment-Package-in-Tijuana-Mexico-by-ITC" TargetMode="External"/><Relationship Id="rIdhvj8f4riehitzhgvtuyca" Type="http://schemas.openxmlformats.org/officeDocument/2006/relationships/hyperlink" Target="https://www.placidway.com/package/7901/Alternative-Anal-Cancer-Treatment-Package-in-Tijuana-Mexico-by-ITC" TargetMode="External"/><Relationship Id="rIds9dbzf1y52bkibpyza7tf" Type="http://schemas.openxmlformats.org/officeDocument/2006/relationships/hyperlink" Target="https://www.placidway.com/profile-videos/5/Alternative-Cancer-Treatment-by-ITC-Immunity-Therapy-Center" TargetMode="External"/><Relationship Id="rIdcf0z5fhcwohrzlh2aehmi" Type="http://schemas.openxmlformats.org/officeDocument/2006/relationships/hyperlink" Target="https://www.placidway.com/price-list/5/Alternative-Cancer-Treatment-by-ITC-Immunity-Therapy-Center" TargetMode="External"/><Relationship Id="rIdzf6jvo9znuz5e8xton_nk" Type="http://schemas.openxmlformats.org/officeDocument/2006/relationships/hyperlink" Target="https://www.placidway.com/search-medical-pricings/Alternative-Medicine/All/1" TargetMode="External"/><Relationship Id="rIdep8sts5z6ype_0nznfflv" Type="http://schemas.openxmlformats.org/officeDocument/2006/relationships/hyperlink" Target="https://www.placidway.com/package/7902/Alternative-Adrenal-Cancer-Treatment-Package-in-Tijuana-Mexico-by-ITC"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PlacidWay Grounded Care Guide — Assessment Submission</dc:title>
  <dc:creator>Sunil Ghanchi</dc:creator>
  <dc:description>Architecture, grounding policy, test results, and limitations for the PlacidWay chatbot assessment.</dc:description>
  <cp:lastModifiedBy>Un-named</cp:lastModifiedBy>
  <cp:revision>1</cp:revision>
  <dcterms:created xsi:type="dcterms:W3CDTF">2026-10-26T13:28:27.640Z</dcterms:created>
  <dcterms:modified xsi:type="dcterms:W3CDTF">2026-10-26T13:28:27.643Z</dcterms:modified>
</cp:coreProperties>
</file>

<file path=docProps/custom.xml><?xml version="1.0" encoding="utf-8"?>
<Properties xmlns="http://schemas.openxmlformats.org/officeDocument/2006/custom-properties" xmlns:vt="http://schemas.openxmlformats.org/officeDocument/2006/docPropsVTypes"/>
</file>