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3301" w14:textId="77777777" w:rsidR="005B7BE9" w:rsidRDefault="004F264C">
      <w:pPr>
        <w:pStyle w:val="Title"/>
      </w:pPr>
      <w:r>
        <w:t>Business Understanding Document (BUD)</w:t>
      </w:r>
    </w:p>
    <w:p w14:paraId="777D8F97" w14:textId="77777777" w:rsidR="005B7BE9" w:rsidRDefault="004F264C">
      <w:r>
        <w:t>Project Title: Automated Extraction and Benchmarking of Financial &amp; Operational Metrics from SEC Filings</w:t>
      </w:r>
    </w:p>
    <w:p w14:paraId="26FA9914" w14:textId="77777777" w:rsidR="005B7BE9" w:rsidRDefault="004F264C">
      <w:r>
        <w:t>Prepared for: Dexian CodeAIThon 2025</w:t>
      </w:r>
    </w:p>
    <w:p w14:paraId="76CF6C9A" w14:textId="772BA81E" w:rsidR="005B7BE9" w:rsidRDefault="004F264C">
      <w:r>
        <w:t xml:space="preserve">Prepared by: Team </w:t>
      </w:r>
      <w:r w:rsidR="007E3A16">
        <w:t>– Quantum Coders</w:t>
      </w:r>
    </w:p>
    <w:p w14:paraId="0E865612" w14:textId="77777777" w:rsidR="005B7BE9" w:rsidRDefault="004F264C">
      <w:r>
        <w:t>Date: October 2025</w:t>
      </w:r>
    </w:p>
    <w:p w14:paraId="52A0A969" w14:textId="77777777" w:rsidR="005B7BE9" w:rsidRDefault="005B7BE9"/>
    <w:p w14:paraId="788FF5CF" w14:textId="77777777" w:rsidR="005B7BE9" w:rsidRDefault="004F264C">
      <w:pPr>
        <w:pStyle w:val="Heading1"/>
      </w:pPr>
      <w:r>
        <w:t xml:space="preserve">1. </w:t>
      </w:r>
      <w:r>
        <w:t>Executive Summary</w:t>
      </w:r>
    </w:p>
    <w:p w14:paraId="45D61024" w14:textId="77777777" w:rsidR="005B7BE9" w:rsidRDefault="004F264C">
      <w:r>
        <w:t>This project aims to automate the extraction and benchmarking of key operational and financial metrics from publicly available SEC filings (10-K, 10-Q) and related supplementary materials (PDFs, HTML tables, PowerPoint decks, and images) for selected companies.</w:t>
      </w:r>
      <w:r>
        <w:br/>
      </w:r>
      <w:r>
        <w:br/>
        <w:t>The solution leverages Dexian’s AI Framework to integrate advanced document parsing, Natural Language Processing (NLP), and vision-based models for structured data extraction from diverse, unstandardized sources. The outcome is a standardized, analysis-ready dataset updated quarterly, designed for benchmarking and trend analysis across 10–15 energy sector companies.</w:t>
      </w:r>
      <w:r>
        <w:br/>
      </w:r>
      <w:r>
        <w:br/>
        <w:t>This initiative directly supports Dexian’s goal to accelerate data-to-decision workflows within the software development lifecycle (SDLC), p</w:t>
      </w:r>
      <w:r>
        <w:t>articularly in data automation, AI enablement, and analytics readiness.</w:t>
      </w:r>
      <w:r>
        <w:br/>
      </w:r>
    </w:p>
    <w:p w14:paraId="40361E5A" w14:textId="77777777" w:rsidR="005B7BE9" w:rsidRDefault="004F264C">
      <w:pPr>
        <w:pStyle w:val="Heading1"/>
      </w:pPr>
      <w:r>
        <w:t>2. Business Objective</w:t>
      </w:r>
    </w:p>
    <w:p w14:paraId="77374466" w14:textId="77777777" w:rsidR="005B7BE9" w:rsidRDefault="004F264C">
      <w:r>
        <w:t>To design and implement an AI-driven solution that:</w:t>
      </w:r>
      <w:r>
        <w:br/>
        <w:t>- Automates the extraction of operational and financial metrics from SEC filings and supplementary materials.</w:t>
      </w:r>
      <w:r>
        <w:br/>
        <w:t>- Ensures consistent, reviewable, and benchmark-ready data for quarterly financial analysis.</w:t>
      </w:r>
      <w:r>
        <w:br/>
        <w:t>- Minimizes manual data collection effort and increases accuracy and repeatability.</w:t>
      </w:r>
      <w:r>
        <w:br/>
        <w:t>- Demonstrates measurable improvement in speed, accuracy, and auditability of the data collection process.</w:t>
      </w:r>
      <w:r>
        <w:br/>
      </w:r>
    </w:p>
    <w:p w14:paraId="1E47F7DD" w14:textId="77777777" w:rsidR="005B7BE9" w:rsidRDefault="004F264C">
      <w:pPr>
        <w:pStyle w:val="Heading1"/>
      </w:pPr>
      <w:r>
        <w:t>3. Problem Statement</w:t>
      </w:r>
    </w:p>
    <w:p w14:paraId="49FCA809" w14:textId="77777777" w:rsidR="005B7BE9" w:rsidRDefault="004F264C">
      <w:r>
        <w:t>Organizations performing financial and operational benchmarking rely heavily on manual processes to extract data from SEC filings and investor materials.</w:t>
      </w:r>
      <w:r>
        <w:br/>
      </w:r>
      <w:r>
        <w:br/>
        <w:t>These documents are non-standardized (tables, images, charts, varying formats), scattered across multiple files (HTML, PDF, PowerPoint), and often contain inconsistent or incomplete segment-level data.</w:t>
      </w:r>
      <w:r>
        <w:br/>
      </w:r>
      <w:r>
        <w:br/>
        <w:t>The result is a highly time-consuming and error-prone process that delays business insights and increases operational cost.</w:t>
      </w:r>
      <w:r>
        <w:br/>
      </w:r>
    </w:p>
    <w:p w14:paraId="7CC7376F" w14:textId="77777777" w:rsidR="005B7BE9" w:rsidRDefault="004F264C">
      <w:pPr>
        <w:pStyle w:val="Heading1"/>
      </w:pPr>
      <w:r>
        <w:t>4. Business Impact / Value Proposition</w:t>
      </w:r>
    </w:p>
    <w:p w14:paraId="01A6992F" w14:textId="77777777" w:rsidR="005B7BE9" w:rsidRDefault="004F264C">
      <w:r>
        <w:t>Efficiency: Automates quarterly data extraction, reducing manual effort by up to 80%.</w:t>
      </w:r>
      <w:r>
        <w:br/>
        <w:t>Accuracy: Introduces AI-based validation and confidence scoring to flag low-confidence or outlier data.</w:t>
      </w:r>
      <w:r>
        <w:br/>
        <w:t>Scalability: Enables repeatable quarterly updates for 10–15 companies without major rework.</w:t>
      </w:r>
      <w:r>
        <w:br/>
        <w:t>Transparency: Every data point is traceable to its original SEC source for auditability.</w:t>
      </w:r>
      <w:r>
        <w:br/>
        <w:t>Speed to Insight: Converts raw SEC data into ready-to-analyze structured datasets, supporting rapid trend analysis and performance benchmarking.</w:t>
      </w:r>
      <w:r>
        <w:br/>
      </w:r>
    </w:p>
    <w:p w14:paraId="6F4F5D4A" w14:textId="77777777" w:rsidR="005B7BE9" w:rsidRDefault="004F264C">
      <w:pPr>
        <w:pStyle w:val="Heading1"/>
      </w:pPr>
      <w:r>
        <w:t>5. Stakeholders and End Users</w:t>
      </w:r>
    </w:p>
    <w:p w14:paraId="52BAC915" w14:textId="77777777" w:rsidR="005B7BE9" w:rsidRDefault="004F264C">
      <w:r>
        <w:t>Business Analysts / Finance Teams: Consume structured data for benchmarking, valuation, and KPI monitoring.</w:t>
      </w:r>
      <w:r>
        <w:br/>
        <w:t>Data Scientists / Engineers: Enhance extraction logic, improve models, and manage retraining.</w:t>
      </w:r>
      <w:r>
        <w:br/>
        <w:t>Project Managers: Ensure on-time delivery and alignment with Dexian CodeAIThon milestones.</w:t>
      </w:r>
      <w:r>
        <w:br/>
        <w:t>Dexian Leadership / CodeAIThon Judges: Evaluate innovation, scalability, and AI integration against competition goals.</w:t>
      </w:r>
      <w:r>
        <w:br/>
      </w:r>
    </w:p>
    <w:p w14:paraId="62C110E7" w14:textId="77777777" w:rsidR="005B7BE9" w:rsidRDefault="004F264C">
      <w:pPr>
        <w:pStyle w:val="Heading1"/>
      </w:pPr>
      <w:r>
        <w:t>6. Scope Definition</w:t>
      </w:r>
    </w:p>
    <w:p w14:paraId="23B26BCD" w14:textId="77777777" w:rsidR="005B7BE9" w:rsidRDefault="004F264C">
      <w:r>
        <w:t>In Scope:</w:t>
      </w:r>
      <w:r>
        <w:br/>
        <w:t>- Extraction of operational and financial metrics from SEC filings (10-K, 10-Q).</w:t>
      </w:r>
      <w:r>
        <w:br/>
        <w:t>- Parsing data from HTML, PDF, and PowerPoint formats.</w:t>
      </w:r>
      <w:r>
        <w:br/>
        <w:t>- Use of multimodal AI models (text + image-based).</w:t>
      </w:r>
      <w:r>
        <w:br/>
        <w:t>- Data standardization, validation, and source mapping.</w:t>
      </w:r>
      <w:r>
        <w:br/>
        <w:t>- Generation of confidence scores and outlier detection.</w:t>
      </w:r>
      <w:r>
        <w:br/>
        <w:t>- Quarterly data refresh cycle for selected companies.</w:t>
      </w:r>
      <w:r>
        <w:br/>
      </w:r>
      <w:r>
        <w:br/>
        <w:t>Out of Scope:</w:t>
      </w:r>
      <w:r>
        <w:br/>
        <w:t>- Manual validation or data correction beyond flagged outliers.</w:t>
      </w:r>
      <w:r>
        <w:br/>
        <w:t>- Integration with external analytics or BI systems (Phase 2).</w:t>
      </w:r>
      <w:r>
        <w:br/>
        <w:t>- Real-time o</w:t>
      </w:r>
      <w:r>
        <w:t>r intraday data updates.</w:t>
      </w:r>
      <w:r>
        <w:br/>
      </w:r>
    </w:p>
    <w:p w14:paraId="0EDE50F2" w14:textId="77777777" w:rsidR="005B7BE9" w:rsidRDefault="004F264C">
      <w:pPr>
        <w:pStyle w:val="Heading1"/>
      </w:pPr>
      <w:r>
        <w:t>7. Success Metrics (SMART Goals)</w:t>
      </w:r>
    </w:p>
    <w:p w14:paraId="01D4139B" w14:textId="77777777" w:rsidR="005B7BE9" w:rsidRDefault="004F264C">
      <w:r>
        <w:t>Automation Accuracy: ≥ 90% extraction accuracy by CodeAIThon end.</w:t>
      </w:r>
      <w:r>
        <w:br/>
        <w:t>Processing Speed: ≤ 10 minutes per company filing.</w:t>
      </w:r>
      <w:r>
        <w:br/>
        <w:t>Data Coverage: ≥ 95% metrics extraction success rate.</w:t>
      </w:r>
      <w:r>
        <w:br/>
        <w:t>Repeatability: &lt;5% manual intervention during quarterly refresh.</w:t>
      </w:r>
      <w:r>
        <w:br/>
        <w:t>Scalability: Extend to 20+ companies in Phase 2.</w:t>
      </w:r>
      <w:r>
        <w:br/>
      </w:r>
    </w:p>
    <w:p w14:paraId="4000E3EC" w14:textId="77777777" w:rsidR="005B7BE9" w:rsidRDefault="004F264C">
      <w:pPr>
        <w:pStyle w:val="Heading1"/>
      </w:pPr>
      <w:r>
        <w:t>8. Key Risks and Mitigation</w:t>
      </w:r>
    </w:p>
    <w:p w14:paraId="7D349A91" w14:textId="77777777" w:rsidR="005B7BE9" w:rsidRDefault="004F264C">
      <w:r>
        <w:t>Variations in document format: Use adaptive parsers and multimodal AI models.</w:t>
      </w:r>
      <w:r>
        <w:br/>
        <w:t>Missing segment-level data: Implement fallback to higher-level aggregates.</w:t>
      </w:r>
      <w:r>
        <w:br/>
        <w:t>Low-confidence extraction: Confidence scoring and manual review flags.</w:t>
      </w:r>
      <w:r>
        <w:br/>
        <w:t>Quarterly update delays: Automated job scheduling and incremental updates.</w:t>
      </w:r>
      <w:r>
        <w:br/>
      </w:r>
    </w:p>
    <w:p w14:paraId="661AA89B" w14:textId="77777777" w:rsidR="005B7BE9" w:rsidRDefault="004F264C">
      <w:pPr>
        <w:pStyle w:val="Heading1"/>
      </w:pPr>
      <w:r>
        <w:t>9. Definition of Done</w:t>
      </w:r>
    </w:p>
    <w:p w14:paraId="27C32CEF" w14:textId="77777777" w:rsidR="005B7BE9" w:rsidRDefault="004F264C">
      <w:r>
        <w:t>- Reliable extraction of all specified metrics from latest filings and materials.</w:t>
      </w:r>
      <w:r>
        <w:br/>
        <w:t>- Capture of segment-level data when available; fallback to higher-level aggregates otherwise.</w:t>
      </w:r>
      <w:r>
        <w:br/>
        <w:t>- All data includes references to original document and location.</w:t>
      </w:r>
      <w:r>
        <w:br/>
        <w:t>- Confidence scores and outlier flags generated for review.</w:t>
      </w:r>
      <w:r>
        <w:br/>
        <w:t>- Repeatable quarterly process with minimal manual intervention.</w:t>
      </w:r>
      <w:r>
        <w:br/>
        <w:t>- Output is standardized, analysis-ready tabular dataset.</w:t>
      </w:r>
      <w:r>
        <w:br/>
      </w:r>
    </w:p>
    <w:p w14:paraId="059F9283" w14:textId="77777777" w:rsidR="005B7BE9" w:rsidRDefault="004F264C">
      <w:pPr>
        <w:pStyle w:val="Heading1"/>
      </w:pPr>
      <w:r>
        <w:t>10. Assumptions and Dependencies</w:t>
      </w:r>
    </w:p>
    <w:p w14:paraId="55C45C38" w14:textId="77777777" w:rsidR="005B7BE9" w:rsidRDefault="004F264C">
      <w:r>
        <w:t>- SEC filings and supplementary materials are publicly available.</w:t>
      </w:r>
      <w:r>
        <w:br/>
        <w:t>- Model performance improves with iterative learning.</w:t>
      </w:r>
      <w:r>
        <w:br/>
        <w:t>- Dexian AI Framework supports model orchestration and integration.</w:t>
      </w:r>
      <w:r>
        <w:br/>
        <w:t>- Processing infrastructure (e.g., cloud GPU, OCR tools) is available within project timelines.</w:t>
      </w:r>
      <w:r>
        <w:br/>
      </w:r>
    </w:p>
    <w:p w14:paraId="6912A5C3" w14:textId="77777777" w:rsidR="005B7BE9" w:rsidRDefault="004F264C">
      <w:pPr>
        <w:pStyle w:val="Heading1"/>
      </w:pPr>
      <w:r>
        <w:t>11. Target Companies</w:t>
      </w:r>
    </w:p>
    <w:p w14:paraId="0B6E0661" w14:textId="77777777" w:rsidR="005B7BE9" w:rsidRDefault="004F264C">
      <w:r>
        <w:t>FANG (0001539838), PR (0001658566), DVN (001090012), OVV (0001792580),</w:t>
      </w:r>
      <w:r>
        <w:br/>
        <w:t>CTRA (0000858470), EOG (0000821189), SM (0000893538),</w:t>
      </w:r>
      <w:r>
        <w:br/>
        <w:t>VTLE (0001528129), MTDR (0001520006), OXY (0000797468), XOM (0000034088)</w:t>
      </w:r>
      <w:r>
        <w:br/>
      </w:r>
    </w:p>
    <w:p w14:paraId="16F7773B" w14:textId="77777777" w:rsidR="005B7BE9" w:rsidRDefault="004F264C">
      <w:pPr>
        <w:pStyle w:val="Heading1"/>
      </w:pPr>
      <w:r>
        <w:t>12. Conclusion</w:t>
      </w:r>
    </w:p>
    <w:p w14:paraId="2EA5CA8E" w14:textId="77777777" w:rsidR="005B7BE9" w:rsidRDefault="004F264C">
      <w:r>
        <w:t xml:space="preserve">This initiative exemplifies Dexian’s vision to leverage AI for </w:t>
      </w:r>
      <w:r>
        <w:t>intelligent automation in the data lifecycle — from unstructured content to structured insights. The project demonstrates technological innovation while creating a sustainable framework for data-driven benchmarking.</w:t>
      </w:r>
      <w:r>
        <w:br/>
      </w:r>
      <w:r>
        <w:br/>
        <w:t>By delivering measurable efficiency, transparency, and scalability, this solution positions Dexian as a leader in AI-enabled business data automation and exemplifies the principles of A.I.D.E. — Automation, Intelligence, Data, and Efficiency.</w:t>
      </w:r>
      <w:r>
        <w:br/>
      </w:r>
    </w:p>
    <w:sectPr w:rsidR="005B7B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48272">
    <w:abstractNumId w:val="8"/>
  </w:num>
  <w:num w:numId="2" w16cid:durableId="2034066083">
    <w:abstractNumId w:val="6"/>
  </w:num>
  <w:num w:numId="3" w16cid:durableId="98835870">
    <w:abstractNumId w:val="5"/>
  </w:num>
  <w:num w:numId="4" w16cid:durableId="1945140282">
    <w:abstractNumId w:val="4"/>
  </w:num>
  <w:num w:numId="5" w16cid:durableId="726761371">
    <w:abstractNumId w:val="7"/>
  </w:num>
  <w:num w:numId="6" w16cid:durableId="1725982808">
    <w:abstractNumId w:val="3"/>
  </w:num>
  <w:num w:numId="7" w16cid:durableId="401223101">
    <w:abstractNumId w:val="2"/>
  </w:num>
  <w:num w:numId="8" w16cid:durableId="994190164">
    <w:abstractNumId w:val="1"/>
  </w:num>
  <w:num w:numId="9" w16cid:durableId="135367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264C"/>
    <w:rsid w:val="005B7BE9"/>
    <w:rsid w:val="007E3A16"/>
    <w:rsid w:val="008721CB"/>
    <w:rsid w:val="00AA1D8D"/>
    <w:rsid w:val="00AB3E84"/>
    <w:rsid w:val="00B47730"/>
    <w:rsid w:val="00CB0664"/>
    <w:rsid w:val="00FC693F"/>
    <w:rsid w:val="4EFF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C9CD"/>
  <w14:defaultImageDpi w14:val="300"/>
  <w15:docId w15:val="{B2CF4FDE-10F5-47A8-B54C-C5E0C8CB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96A7019709BF4C876876659FB2785B" ma:contentTypeVersion="10" ma:contentTypeDescription="Create a new document." ma:contentTypeScope="" ma:versionID="356f546e07d3eaf6d053098197af3f55">
  <xsd:schema xmlns:xsd="http://www.w3.org/2001/XMLSchema" xmlns:xs="http://www.w3.org/2001/XMLSchema" xmlns:p="http://schemas.microsoft.com/office/2006/metadata/properties" xmlns:ns2="ae2314c3-8e50-429b-9851-6824630073e2" targetNamespace="http://schemas.microsoft.com/office/2006/metadata/properties" ma:root="true" ma:fieldsID="119553b6d7d623f898692cef2471a9f3" ns2:_="">
    <xsd:import namespace="ae2314c3-8e50-429b-9851-6824630073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314c3-8e50-429b-9851-6824630073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12fd50-5efa-4660-a854-c643c4a045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2314c3-8e50-429b-9851-6824630073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750E1D-ED36-4F6A-BAA7-CE2DA23F62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CDB24A-CFB6-4B64-80E6-846B9141B321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2DF453-36FA-4C4F-B206-4254D47E69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867</Words>
  <Characters>4947</Characters>
  <Application>Microsoft Office Word</Application>
  <DocSecurity>0</DocSecurity>
  <Lines>41</Lines>
  <Paragraphs>11</Paragraphs>
  <ScaleCrop>false</ScaleCrop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Sunil</cp:lastModifiedBy>
  <cp:revision>3</cp:revision>
  <dcterms:created xsi:type="dcterms:W3CDTF">2025-10-06T16:09:00Z</dcterms:created>
  <dcterms:modified xsi:type="dcterms:W3CDTF">2025-10-06T16:09:00Z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0x010100BA96A7019709BF4C876876659FB2785B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2025-10-06T16:09:33Z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fc3a054b-460e-4a12-ba5c-1ebfdc1d659a</vt:lpwstr>
  </property>
  <property fmtid="{D5CDD505-2E9C-101B-9397-08002B2CF9AE}" pid="8" name="MSIP_Label_defa4170-0d19-0005-0004-bc88714345d2_ActionId">
    <vt:lpwstr>c9c1d1e9-b851-4283-82b9-d9ac5510da06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10, 3, 0, 2</vt:lpwstr>
  </property>
</Properties>
</file>