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60"/>
      </w:pPr>
      <w:r>
        <w:rPr>
          <w:b/>
          <w:sz w:val="40"/>
          <w:szCs w:val="40"/>
        </w:rPr>
        <w:t xml:space="preserve">Evidence Monitoring Agent: Requirements (Brief)</w:t>
      </w:r>
    </w:p>
    <w:p>
      <w:pPr>
        <w:spacing w:after="160"/>
      </w:pPr>
      <w:r>
        <w:rPr>
          <w:i/>
          <w:sz w:val="20"/>
          <w:szCs w:val="20"/>
        </w:rPr>
        <w:t xml:space="preserve">Full spec: </w:t>
      </w:r>
      <w:r>
        <w:rPr>
          <w:i/>
          <w:rFonts w:ascii="Consolas" w:hAnsi="Consolas"/>
          <w:sz w:val="20"/>
          <w:szCs w:val="20"/>
        </w:rPr>
        <w:t xml:space="preserve">docs/REQUIREMENTS.md</w:t>
      </w:r>
      <w:r>
        <w:rPr>
          <w:i/>
          <w:sz w:val="20"/>
          <w:szCs w:val="20"/>
        </w:rPr>
        <w:t xml:space="preserve">. Design: </w:t>
      </w:r>
      <w:r>
        <w:rPr>
          <w:i/>
          <w:rFonts w:ascii="Consolas" w:hAnsi="Consolas"/>
          <w:sz w:val="20"/>
          <w:szCs w:val="20"/>
        </w:rPr>
        <w:t xml:space="preserve">docs/TECHNICAL_DESIGN.md</w:t>
      </w:r>
      <w:r>
        <w:rPr>
          <w:i/>
          <w:sz w:val="20"/>
          <w:szCs w:val="20"/>
        </w:rPr>
        <w:t xml:space="preserve">.</w:t>
      </w:r>
    </w:p>
    <w:p>
      <w:pPr>
        <w:spacing w:before="200" w:after="80"/>
      </w:pPr>
      <w:r>
        <w:rPr>
          <w:b/>
          <w:sz w:val="28"/>
          <w:szCs w:val="28"/>
        </w:rPr>
        <w:t xml:space="preserve">Problem</w:t>
      </w:r>
    </w:p>
    <w:p>
      <w:pPr>
        <w:spacing w:after="120"/>
      </w:pPr>
      <w:r>
        <w:rPr>
          <w:sz w:val="22"/>
          <w:szCs w:val="22"/>
        </w:rPr>
        <w:t xml:space="preserve">Patients, prospects, and providers increasingly ask AI assistants (ChatGPT, Gemini, Claude, Perplexity, OpenEvidence) what to take or prescribe, and for many that answer is their only research. The channel is invisible to the manufacturer: answers vary by phrasing and model, drift silently over time, and leave no record. A model may misrepresent a therapy, omit the brand, favor a competitor, hallucinate claims, surface an adverse event, or cite weak evidence. SEO analytics, social listening, MLR, and manual spot-checks do not measure it. As AI answers become a primary discovery surface, continuous, structured measurement is needed to detect drift, quantify exposure, and respond.</w:t>
      </w:r>
    </w:p>
    <w:p>
      <w:pPr>
        <w:spacing w:before="200" w:after="80"/>
      </w:pPr>
      <w:r>
        <w:rPr>
          <w:b/>
          <w:sz w:val="28"/>
          <w:szCs w:val="28"/>
        </w:rPr>
        <w:t xml:space="preserve">Users</w:t>
      </w:r>
    </w:p>
    <w:p>
      <w:pPr>
        <w:spacing w:after="120"/>
      </w:pPr>
      <w:r>
        <w:rPr>
          <w:sz w:val="22"/>
          <w:szCs w:val="22"/>
        </w:rPr>
        <w:t xml:space="preserve">Primary user is a non-technical brand/marketing manager; Medical Affairs and Pharmacovigilance review and approve. Questions are asked through three personas: Prospect, Patient, and Provider.</w:t>
      </w:r>
    </w:p>
    <w:p>
      <w:pPr>
        <w:spacing w:before="200" w:after="80"/>
      </w:pPr>
      <w:r>
        <w:rPr>
          <w:b/>
          <w:sz w:val="28"/>
          <w:szCs w:val="28"/>
        </w:rPr>
        <w:t xml:space="preserve">Goals</w:t>
      </w:r>
    </w:p>
    <w:p>
      <w:pPr>
        <w:spacing w:after="120"/>
      </w:pPr>
      <w:r>
        <w:rPr>
          <w:sz w:val="22"/>
          <w:szCs w:val="22"/>
        </w:rPr>
        <w:t xml:space="preserve">A repeatable, auditable record of what each model says per therapy and persona over time; quantified sentiment and competitive positioning; change detection and alerting; evidence-gap detection; governed (approved questions only), private (no PII), and auditable. It is not medical advice, not an attempt to manipulate models, and not a replacement for MLR or pharmacovigilance (it feeds them).</w:t>
      </w:r>
    </w:p>
    <w:p>
      <w:pPr>
        <w:spacing w:before="200" w:after="80"/>
      </w:pPr>
      <w:r>
        <w:rPr>
          <w:b/>
          <w:sz w:val="28"/>
          <w:szCs w:val="28"/>
        </w:rPr>
        <w:t xml:space="preserve">What it must do</w:t>
      </w:r>
    </w:p>
    <w:p>
      <w:pPr>
        <w:spacing w:after="80"/>
        <w:ind w:left="360" w:hanging="360"/>
      </w:pPr>
      <w:r>
        <w:rPr>
          <w:sz w:val="22"/>
        </w:rPr>
        <w:t xml:space="preserve">•  </w:t>
      </w:r>
      <w:r>
        <w:rPr>
          <w:b/>
          <w:sz w:val="22"/>
          <w:szCs w:val="22"/>
        </w:rPr>
        <w:t xml:space="preserve">Question bank:</w:t>
      </w:r>
      <w:r>
        <w:rPr>
          <w:sz w:val="22"/>
          <w:szCs w:val="22"/>
        </w:rPr>
        <w:t xml:space="preserve"> approved, versioned questions tagged by persona, therapeutic area, brand, and domain; CSV import with PII linting; coverage reporting; soft-delete only.</w:t>
      </w:r>
    </w:p>
    <w:p>
      <w:pPr>
        <w:spacing w:after="80"/>
        <w:ind w:left="360" w:hanging="360"/>
      </w:pPr>
      <w:r>
        <w:rPr>
          <w:sz w:val="22"/>
        </w:rPr>
        <w:t xml:space="preserve">•  </w:t>
      </w:r>
      <w:r>
        <w:rPr>
          <w:b/>
          <w:sz w:val="22"/>
          <w:szCs w:val="22"/>
        </w:rPr>
        <w:t xml:space="preserve">Run engine:</w:t>
      </w:r>
      <w:r>
        <w:rPr>
          <w:sz w:val="22"/>
          <w:szCs w:val="22"/>
        </w:rPr>
        <w:t xml:space="preserve"> send every approved question to every enabled model with persona prompts; concurrent with rate limits, retries, dry-runs, filtered ad-hoc runs, and a per-run cost budget.</w:t>
      </w:r>
    </w:p>
    <w:p>
      <w:pPr>
        <w:spacing w:after="80"/>
        <w:ind w:left="360" w:hanging="360"/>
      </w:pPr>
      <w:r>
        <w:rPr>
          <w:sz w:val="22"/>
        </w:rPr>
        <w:t xml:space="preserve">•  </w:t>
      </w:r>
      <w:r>
        <w:rPr>
          <w:b/>
          <w:sz w:val="22"/>
          <w:szCs w:val="22"/>
        </w:rPr>
        <w:t xml:space="preserve">Responses:</w:t>
      </w:r>
      <w:r>
        <w:rPr>
          <w:sz w:val="22"/>
          <w:szCs w:val="22"/>
        </w:rPr>
        <w:t xml:space="preserve"> stored verbatim and immutable with full metadata; queryable and exportable (CSV, JSON); run-over-run difference.</w:t>
      </w:r>
    </w:p>
    <w:p>
      <w:pPr>
        <w:spacing w:after="80"/>
        <w:ind w:left="360" w:hanging="360"/>
      </w:pPr>
      <w:r>
        <w:rPr>
          <w:sz w:val="22"/>
        </w:rPr>
        <w:t xml:space="preserve">•  </w:t>
      </w:r>
      <w:r>
        <w:rPr>
          <w:b/>
          <w:sz w:val="22"/>
          <w:szCs w:val="22"/>
        </w:rPr>
        <w:t xml:space="preserve">Scoring and alerts:</w:t>
      </w:r>
      <w:r>
        <w:rPr>
          <w:sz w:val="22"/>
          <w:szCs w:val="22"/>
        </w:rPr>
        <w:t xml:space="preserve"> sentiment (-1 to +1) and competitive position with key claims and rationale; alerts on low sentiment, "not recommended", competitor advantage, or adverse events; cross-model consensus; versioned re-scoring and human overrides.</w:t>
      </w:r>
    </w:p>
    <w:p>
      <w:pPr>
        <w:spacing w:after="80"/>
        <w:ind w:left="360" w:hanging="360"/>
      </w:pPr>
      <w:r>
        <w:rPr>
          <w:sz w:val="22"/>
        </w:rPr>
        <w:t xml:space="preserve">•  </w:t>
      </w:r>
      <w:r>
        <w:rPr>
          <w:b/>
          <w:sz w:val="22"/>
          <w:szCs w:val="22"/>
        </w:rPr>
        <w:t xml:space="preserve">Scheduling:</w:t>
      </w:r>
      <w:r>
        <w:rPr>
          <w:sz w:val="22"/>
          <w:szCs w:val="22"/>
        </w:rPr>
        <w:t xml:space="preserve"> unattended, time-zone-aware runs that are resumable and cancellable; Provider runs pause for manual OpenEvidence capture.</w:t>
      </w:r>
    </w:p>
    <w:p>
      <w:pPr>
        <w:spacing w:after="80"/>
        <w:ind w:left="360" w:hanging="360"/>
      </w:pPr>
      <w:r>
        <w:rPr>
          <w:sz w:val="22"/>
        </w:rPr>
        <w:t xml:space="preserve">•  </w:t>
      </w:r>
      <w:r>
        <w:rPr>
          <w:b/>
          <w:sz w:val="22"/>
          <w:szCs w:val="22"/>
        </w:rPr>
        <w:t xml:space="preserve">Dashboard:</w:t>
      </w:r>
      <w:r>
        <w:rPr>
          <w:sz w:val="22"/>
          <w:szCs w:val="22"/>
        </w:rPr>
        <w:t xml:space="preserve"> marketer-first and insights-first; leads with recommended next steps; plain-English labels; natural-language "Ask a Question"; no install required.</w:t>
      </w:r>
    </w:p>
    <w:p>
      <w:pPr>
        <w:spacing w:after="80"/>
        <w:ind w:left="360" w:hanging="360"/>
      </w:pPr>
      <w:r>
        <w:rPr>
          <w:sz w:val="22"/>
        </w:rPr>
        <w:t xml:space="preserve">•  </w:t>
      </w:r>
      <w:r>
        <w:rPr>
          <w:b/>
          <w:sz w:val="22"/>
          <w:szCs w:val="22"/>
        </w:rPr>
        <w:t xml:space="preserve">Discovery and social listening:</w:t>
      </w:r>
      <w:r>
        <w:rPr>
          <w:sz w:val="22"/>
          <w:szCs w:val="22"/>
        </w:rPr>
        <w:t xml:space="preserve"> mine real patient questions from public communities and capture public social posts (Reddit, Facebook, TikTok, X, YouTube); scrub PII, screen, translate, quarantine adverse events; report sentiment, share of voice, and volume on a repeatable schedule.</w:t>
      </w:r>
    </w:p>
    <w:p>
      <w:pPr>
        <w:spacing w:before="200" w:after="80"/>
      </w:pPr>
      <w:r>
        <w:rPr>
          <w:b/>
          <w:sz w:val="28"/>
          <w:szCs w:val="28"/>
        </w:rPr>
        <w:t xml:space="preserve">Cross-cutting</w:t>
      </w:r>
    </w:p>
    <w:p>
      <w:pPr>
        <w:spacing w:after="120"/>
      </w:pPr>
      <w:r>
        <w:rPr>
          <w:sz w:val="22"/>
          <w:szCs w:val="22"/>
        </w:rPr>
        <w:t xml:space="preserve">No PII; append-only responses and audit log; brand and competitor content in configuration, not code; prompt-injection screening; concurrent and fault-tolerant (one failure never aborts a run); durable and resumable; per-target health checks; new models added by config only; multiple providers behind one contract; optional analytics-warehouse mirror for rollups and natural-language query; 24-month retention.</w:t>
      </w:r>
    </w:p>
    <w:p>
      <w:pPr>
        <w:spacing w:before="200" w:after="80"/>
      </w:pPr>
      <w:r>
        <w:rPr>
          <w:b/>
          <w:sz w:val="28"/>
          <w:szCs w:val="28"/>
        </w:rPr>
        <w:t xml:space="preserve">Done when</w:t>
      </w:r>
    </w:p>
    <w:p>
      <w:pPr>
        <w:spacing w:after="120"/>
      </w:pPr>
      <w:r>
        <w:rPr>
          <w:sz w:val="22"/>
          <w:szCs w:val="22"/>
        </w:rPr>
        <w:t xml:space="preserve">Scheduled runs complete unattended for days; at least 30 questions per persona across two or more therapeutic areas; 95% or better capture per model; everything scored and auditable; alerts fire on change and risk; a new model is added by configuration; only approved, PII-free questions run; and a marketer reaches insights and the top action without training.</w:t>
      </w:r>
    </w:p>
    <w:p>
      <w:pPr>
        <w:spacing w:before="200" w:after="80"/>
      </w:pPr>
      <w:r>
        <w:rPr>
          <w:b/>
          <w:sz w:val="28"/>
          <w:szCs w:val="28"/>
        </w:rPr>
        <w:t xml:space="preserve">Scope</w:t>
      </w:r>
    </w:p>
    <w:p>
      <w:pPr>
        <w:spacing w:after="120"/>
      </w:pPr>
      <w:r>
        <w:rPr>
          <w:b/>
          <w:sz w:val="22"/>
          <w:szCs w:val="22"/>
        </w:rPr>
        <w:t xml:space="preserve">In:</w:t>
      </w:r>
      <w:r>
        <w:rPr>
          <w:sz w:val="22"/>
          <w:szCs w:val="22"/>
        </w:rPr>
        <w:t xml:space="preserve"> the above on synthetic but realistic data (real brand names, no PII). </w:t>
      </w:r>
      <w:r>
        <w:rPr>
          <w:b/>
          <w:sz w:val="22"/>
          <w:szCs w:val="22"/>
        </w:rPr>
        <w:t xml:space="preserve">Out (this phase):</w:t>
      </w:r>
      <w:r>
        <w:rPr>
          <w:sz w:val="22"/>
          <w:szCs w:val="22"/>
        </w:rPr>
        <w:t xml:space="preserve"> MLR integration, production alert channels beyond a webhook, end-user auth and RBAC, multi-tenancy, a managed clinical-accuracy corpus, data-platform integration (Veeva, Salesforce, data lake), and mobile or native apps. </w:t>
      </w:r>
      <w:r>
        <w:rPr>
          <w:b/>
          <w:sz w:val="22"/>
          <w:szCs w:val="22"/>
        </w:rPr>
        <w:t xml:space="preserve">Open:</w:t>
      </w:r>
      <w:r>
        <w:rPr>
          <w:sz w:val="22"/>
          <w:szCs w:val="22"/>
        </w:rPr>
        <w:t xml:space="preserve"> final product name (pending brand sign-off); monitored models, areas, and frequency; retention and alert-threshold defaults.</w:t>
      </w:r>
    </w:p>
    <w:sectPr>
      <w:pgSz w:w="12240" w:h="15840"/>
      <w:pgMar w:top="1440" w:right="1440" w:bottom="1440" w:left="1440" w:header="720" w:footer="720" w:gutter="0"/>
    </w:sectPr>
  </w:body>
</w:document>
</file>