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E2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</w:p>
    <w:p w:rsidR="00494A5A" w:rsidRPr="008D7E05" w:rsidRDefault="00494A5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1378A" w:rsidRPr="00D148E2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D148E2" w:rsidRPr="00D148E2">
        <w:rPr>
          <w:rFonts w:ascii="Arial" w:hAnsi="Arial" w:cs="Arial"/>
          <w:sz w:val="20"/>
          <w:szCs w:val="20"/>
        </w:rPr>
        <w:t>Test scenarios are linear form of test cases</w:t>
      </w:r>
    </w:p>
    <w:p w:rsidR="00D148E2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explain what are the Possible areas to be tested with in software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D148E2" w:rsidRPr="00D148E2" w:rsidRDefault="00D148E2" w:rsidP="00D148E2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D148E2" w:rsidRPr="00D148E2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Where do I found Test scenarios?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494A5A" w:rsidRPr="004A75B6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A75B6" w:rsidRPr="004A75B6" w:rsidRDefault="004A75B6" w:rsidP="004A75B6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Who identify</w:t>
      </w:r>
      <w:r w:rsidRPr="004A75B6">
        <w:rPr>
          <w:rFonts w:ascii="Arial" w:hAnsi="Arial" w:cs="Arial"/>
          <w:b/>
          <w:sz w:val="20"/>
          <w:szCs w:val="20"/>
        </w:rPr>
        <w:t xml:space="preserve"> test scenarios?</w:t>
      </w:r>
    </w:p>
    <w:p w:rsidR="00494A5A" w:rsidRPr="00D148E2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148E2" w:rsidRPr="00DF263D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Advantages of Test Scenarios: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DF263D" w:rsidRPr="00D148E2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D148E2" w:rsidRPr="004F139B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take lesser time to execute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Identify Test scenarios for below Image</w:t>
      </w:r>
      <w:r>
        <w:rPr>
          <w:rFonts w:ascii="Arial" w:hAnsi="Arial" w:cs="Arial"/>
          <w:sz w:val="20"/>
          <w:szCs w:val="20"/>
        </w:rPr>
        <w:tab/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759320" cy="2027932"/>
            <wp:effectExtent l="19050" t="0" r="0" b="0"/>
            <wp:docPr id="1" name="Picture 1" descr="C:\Users\MINDQ\Documents\Searches\Pictures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Q\Documents\Searches\Pictures\Login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002" cy="203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46"/>
        <w:gridCol w:w="1834"/>
        <w:gridCol w:w="4411"/>
        <w:gridCol w:w="1485"/>
      </w:tblGrid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ID</w:t>
            </w:r>
          </w:p>
        </w:tc>
        <w:tc>
          <w:tcPr>
            <w:tcW w:w="4712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able to login by entering valid username and valid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6664BC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with user attempt with invalid username and 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when user leave mandatory fields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browser can remember by login credentials when user opt remember option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all labels and controls presented at  login page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Ts6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Graphical interface details[Text, Color, background, alignment details]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  <w:r w:rsidR="00C55DEC">
        <w:rPr>
          <w:rFonts w:ascii="Arial" w:hAnsi="Arial" w:cs="Arial"/>
          <w:sz w:val="20"/>
          <w:szCs w:val="20"/>
        </w:rPr>
        <w:t xml:space="preserve">  Identify High level test scenarios for ecommerce website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FA158C">
        <w:trPr>
          <w:trHeight w:val="764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4A75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display error message Please enter valid username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4681"/>
    <w:rsid w:val="0019473D"/>
    <w:rsid w:val="001E08F2"/>
    <w:rsid w:val="001F0A71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5B6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64BC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19DE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AF6F3E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5DEC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48E2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30DB9"/>
    <w:rsid w:val="00F44B6B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6</Pages>
  <Words>1791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101</cp:revision>
  <dcterms:created xsi:type="dcterms:W3CDTF">2019-02-01T15:37:00Z</dcterms:created>
  <dcterms:modified xsi:type="dcterms:W3CDTF">2023-06-28T04:52:00Z</dcterms:modified>
</cp:coreProperties>
</file>