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2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</w:p>
    <w:p w:rsidR="00494A5A" w:rsidRPr="008D7E05" w:rsidRDefault="00494A5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E6451C" w:rsidRPr="008D7E05" w:rsidRDefault="00E6451C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[knowledge transfer]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59320" cy="2027932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02" cy="203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64"/>
        <w:gridCol w:w="1831"/>
        <w:gridCol w:w="4398"/>
        <w:gridCol w:w="1483"/>
      </w:tblGrid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Name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51C" w:rsidTr="004A75B6"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 can’t remember username and password when user not selected remember me  option</w:t>
            </w:r>
          </w:p>
        </w:tc>
        <w:tc>
          <w:tcPr>
            <w:tcW w:w="1530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  <w:r w:rsidR="00E645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Ts7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FA158C">
        <w:trPr>
          <w:trHeight w:val="764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C530B3">
        <w:rPr>
          <w:rFonts w:ascii="Arial" w:hAnsi="Arial" w:cs="Arial"/>
          <w:sz w:val="20"/>
          <w:szCs w:val="20"/>
        </w:rPr>
        <w:t xml:space="preserve">  Behavior driven development </w:t>
      </w:r>
      <w:r w:rsidR="006C3DD6">
        <w:rPr>
          <w:rFonts w:ascii="Arial" w:hAnsi="Arial" w:cs="Arial"/>
          <w:sz w:val="20"/>
          <w:szCs w:val="20"/>
        </w:rPr>
        <w:t>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Note: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Gherkin is plain language it can convert plain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proofErr w:type="gramStart"/>
      <w:r w:rsidR="00E4152B"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</w:rPr>
        <w:t xml:space="preserve"> into programs.</w:t>
      </w:r>
      <w:proofErr w:type="gramEnd"/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1F70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[Steps to follow before performing real action]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When: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[User inputs to trigger scenario]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Then: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[Post Condition to </w:t>
      </w:r>
      <w:proofErr w:type="gramStart"/>
      <w:r>
        <w:rPr>
          <w:rFonts w:ascii="Arial" w:hAnsi="Arial" w:cs="Arial"/>
          <w:sz w:val="20"/>
          <w:szCs w:val="20"/>
        </w:rPr>
        <w:t>Verify ]</w:t>
      </w:r>
      <w:proofErr w:type="gramEnd"/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9BBB59" w:themeColor="accent3"/>
          <w:sz w:val="20"/>
          <w:szCs w:val="20"/>
        </w:rPr>
        <w:t xml:space="preserve">                     Feature</w:t>
      </w:r>
      <w:r>
        <w:rPr>
          <w:rFonts w:ascii="Arial" w:hAnsi="Arial" w:cs="Arial"/>
          <w:sz w:val="20"/>
          <w:szCs w:val="20"/>
        </w:rPr>
        <w:t>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Testing Login Feature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4F81BD" w:themeColor="accent1"/>
          <w:sz w:val="20"/>
          <w:szCs w:val="20"/>
        </w:rPr>
        <w:t>Scenario</w:t>
      </w:r>
      <w:r>
        <w:rPr>
          <w:rFonts w:ascii="Arial" w:hAnsi="Arial" w:cs="Arial"/>
          <w:sz w:val="20"/>
          <w:szCs w:val="20"/>
        </w:rPr>
        <w:t>:  Verifying login with invalid data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FF0000"/>
          <w:sz w:val="20"/>
          <w:szCs w:val="20"/>
        </w:rPr>
        <w:t xml:space="preserve">                     Given</w:t>
      </w:r>
      <w:r>
        <w:rPr>
          <w:rFonts w:ascii="Arial" w:hAnsi="Arial" w:cs="Arial"/>
          <w:sz w:val="20"/>
          <w:szCs w:val="20"/>
        </w:rPr>
        <w:t>:  User Navigate to Facebook Login Page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When</w:t>
      </w:r>
      <w:r>
        <w:rPr>
          <w:rFonts w:ascii="Arial" w:hAnsi="Arial" w:cs="Arial"/>
          <w:sz w:val="20"/>
          <w:szCs w:val="20"/>
        </w:rPr>
        <w:t>:  User enter valid username and invalid password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Error text displayed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4F81BD" w:themeColor="accent1"/>
          <w:sz w:val="20"/>
          <w:szCs w:val="20"/>
        </w:rPr>
        <w:t xml:space="preserve">                      Scenario</w:t>
      </w:r>
      <w:r>
        <w:rPr>
          <w:rFonts w:ascii="Arial" w:hAnsi="Arial" w:cs="Arial"/>
          <w:sz w:val="20"/>
          <w:szCs w:val="20"/>
        </w:rPr>
        <w:t>:  Verifying login with valid data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>:  User valid username and valid password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inbox is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A428BF" w:rsidRPr="00917A5D" w:rsidRDefault="00D62C01" w:rsidP="006C15BA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Harika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Delete,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Assign</w:t>
            </w:r>
          </w:p>
        </w:tc>
      </w:tr>
      <w:tr w:rsidR="001F5A16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Adithi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Agent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1F5A16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B56A01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add any product to cart before proceeding for payment. It shows default one product</w:t>
      </w:r>
    </w:p>
    <w:p w:rsidR="00B56A01" w:rsidRPr="008D7E05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With in</w:t>
      </w:r>
      <w:proofErr w:type="spellEnd"/>
      <w:r>
        <w:rPr>
          <w:rFonts w:ascii="Arial" w:hAnsi="Arial" w:cs="Arial"/>
          <w:sz w:val="20"/>
          <w:szCs w:val="20"/>
        </w:rPr>
        <w:t xml:space="preserve"> a cart.</w:t>
      </w:r>
      <w:proofErr w:type="gramEnd"/>
      <w:r>
        <w:rPr>
          <w:rFonts w:ascii="Arial" w:hAnsi="Arial" w:cs="Arial"/>
          <w:sz w:val="20"/>
          <w:szCs w:val="20"/>
        </w:rPr>
        <w:t xml:space="preserve"> And allow user to increase product size by pressing + button.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Number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Steps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Tc001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  <w:r w:rsidR="00861691">
        <w:rPr>
          <w:rFonts w:ascii="Arial" w:hAnsi="Arial" w:cs="Arial"/>
          <w:sz w:val="20"/>
          <w:szCs w:val="20"/>
        </w:rPr>
        <w:t>.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display error message Please enter valid username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156B6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2EC2"/>
    <w:rsid w:val="000B3774"/>
    <w:rsid w:val="000C0563"/>
    <w:rsid w:val="000C0822"/>
    <w:rsid w:val="000D0C9A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2BFF"/>
    <w:rsid w:val="00194681"/>
    <w:rsid w:val="0019473D"/>
    <w:rsid w:val="001E08F2"/>
    <w:rsid w:val="001F0A71"/>
    <w:rsid w:val="001F12EC"/>
    <w:rsid w:val="001F5A16"/>
    <w:rsid w:val="001F705A"/>
    <w:rsid w:val="00200BA6"/>
    <w:rsid w:val="00201C52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436B2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068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834C0"/>
    <w:rsid w:val="0068564E"/>
    <w:rsid w:val="0069127E"/>
    <w:rsid w:val="006A473E"/>
    <w:rsid w:val="006A66BD"/>
    <w:rsid w:val="006B0EB9"/>
    <w:rsid w:val="006B565A"/>
    <w:rsid w:val="006C15B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53FF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1691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19DE"/>
    <w:rsid w:val="00A234FD"/>
    <w:rsid w:val="00A35743"/>
    <w:rsid w:val="00A428BF"/>
    <w:rsid w:val="00A520F8"/>
    <w:rsid w:val="00A631DE"/>
    <w:rsid w:val="00A67405"/>
    <w:rsid w:val="00A751AD"/>
    <w:rsid w:val="00A764B5"/>
    <w:rsid w:val="00A9202C"/>
    <w:rsid w:val="00AC54E8"/>
    <w:rsid w:val="00AD6349"/>
    <w:rsid w:val="00AE0616"/>
    <w:rsid w:val="00AE331F"/>
    <w:rsid w:val="00AF6F3E"/>
    <w:rsid w:val="00B1378A"/>
    <w:rsid w:val="00B210AB"/>
    <w:rsid w:val="00B23864"/>
    <w:rsid w:val="00B5052F"/>
    <w:rsid w:val="00B535A9"/>
    <w:rsid w:val="00B56A01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30B3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4152B"/>
    <w:rsid w:val="00E42E74"/>
    <w:rsid w:val="00E55786"/>
    <w:rsid w:val="00E626BB"/>
    <w:rsid w:val="00E6451C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3898</TotalTime>
  <Pages>7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111</cp:revision>
  <dcterms:created xsi:type="dcterms:W3CDTF">2019-02-01T15:37:00Z</dcterms:created>
  <dcterms:modified xsi:type="dcterms:W3CDTF">2023-08-17T04:04:00Z</dcterms:modified>
</cp:coreProperties>
</file>