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b/>
          <w:bCs/>
          <w:color w:val="0D1B2E"/>
          <w:sz w:val="44"/>
          <w:szCs w:val="44"/>
        </w:rPr>
        <w:t xml:space="preserve">IGI PORTAL SUITE</w:t>
      </w:r>
    </w:p>
    <w:p>
      <w:pPr>
        <w:spacing w:after="300"/>
      </w:pPr>
      <w:r>
        <w:rPr>
          <w:b/>
          <w:bCs/>
          <w:color w:val="C9A84C"/>
          <w:sz w:val="32"/>
          <w:szCs w:val="32"/>
        </w:rPr>
        <w:t xml:space="preserve">Data Integrity &amp; Cross-Portal Audit</w:t>
      </w:r>
    </w:p>
    <w:p>
      <w:pPr>
        <w:pBdr>
          <w:bottom w:val="single" w:color="C9A84C" w:sz="12" w:space="8"/>
        </w:pBdr>
        <w:spacing w:after="300"/>
      </w:pPr>
      <w:r>
        <w:t xml:space="preserve"/>
      </w:r>
    </w:p>
    <w:p>
      <w:pPr>
        <w:spacing w:after="60"/>
      </w:pPr>
      <w:r>
        <w:rPr>
          <w:b/>
          <w:bCs/>
          <w:color w:val="0D1B2E"/>
          <w:sz w:val="20"/>
          <w:szCs w:val="20"/>
        </w:rPr>
        <w:t xml:space="preserve">Prepared for:  </w:t>
      </w:r>
      <w:r>
        <w:rPr>
          <w:sz w:val="20"/>
          <w:szCs w:val="20"/>
        </w:rPr>
        <w:t xml:space="preserve">COO &amp; CFO — Top Management Review</w:t>
      </w:r>
    </w:p>
    <w:p>
      <w:pPr>
        <w:spacing w:after="60"/>
      </w:pPr>
      <w:r>
        <w:rPr>
          <w:b/>
          <w:bCs/>
          <w:color w:val="0D1B2E"/>
          <w:sz w:val="20"/>
          <w:szCs w:val="20"/>
        </w:rPr>
        <w:t xml:space="preserve">Prepared by:  </w:t>
      </w:r>
      <w:r>
        <w:rPr>
          <w:sz w:val="20"/>
          <w:szCs w:val="20"/>
        </w:rPr>
        <w:t xml:space="preserve">Claude (Cowork), at the request of Sunil Sharma</w:t>
      </w:r>
    </w:p>
    <w:p>
      <w:pPr>
        <w:spacing w:after="60"/>
      </w:pPr>
      <w:r>
        <w:rPr>
          <w:b/>
          <w:bCs/>
          <w:color w:val="0D1B2E"/>
          <w:sz w:val="20"/>
          <w:szCs w:val="20"/>
        </w:rPr>
        <w:t xml:space="preserve">Date:  </w:t>
      </w:r>
      <w:r>
        <w:rPr>
          <w:sz w:val="20"/>
          <w:szCs w:val="20"/>
        </w:rPr>
        <w:t xml:space="preserve">18 July 2026</w:t>
      </w:r>
    </w:p>
    <w:p>
      <w:pPr>
        <w:spacing w:after="60"/>
      </w:pPr>
      <w:r>
        <w:rPr>
          <w:b/>
          <w:bCs/>
          <w:color w:val="0D1B2E"/>
          <w:sz w:val="20"/>
          <w:szCs w:val="20"/>
        </w:rPr>
        <w:t xml:space="preserve">Scope:  </w:t>
      </w:r>
      <w:r>
        <w:rPr>
          <w:sz w:val="20"/>
          <w:szCs w:val="20"/>
        </w:rPr>
        <w:t xml:space="preserve">admin.html, hr.html, igi-ceo-portal.html, counselor.html, instructor-portal.html, student.html, assets/shared.js, api/crm/fb-webhook.js, and associated Supabase seed/migration files</w:t>
      </w:r>
    </w:p>
    <w:p>
      <w:pPr>
        <w:spacing w:after="60"/>
      </w:pPr>
      <w:r>
        <w:rPr>
          <w:b/>
          <w:bCs/>
          <w:color w:val="0D1B2E"/>
          <w:sz w:val="20"/>
          <w:szCs w:val="20"/>
        </w:rPr>
        <w:t xml:space="preserve">Method:  </w:t>
      </w:r>
      <w:r>
        <w:rPr>
          <w:sz w:val="20"/>
          <w:szCs w:val="20"/>
        </w:rPr>
        <w:t xml:space="preserve">Full static code review of every dashboard's data pipeline — from source (hardcoded constants, live queries, Supabase tables) through calculation logic to on-screen display — with cross-portal reconciliation of every metric that appears in more than one place.</w:t>
      </w:r>
    </w:p>
    <w:p>
      <w:pPr>
        <w:spacing w:after="200" w:before="200"/>
      </w:pPr>
      <w:r>
        <w:rPr>
          <w:i/>
          <w:iCs/>
          <w:color w:val="6B7280"/>
          <w:sz w:val="19"/>
          <w:szCs w:val="19"/>
        </w:rPr>
        <w:t xml:space="preserve">No code was changed as part of this audit unless explicitly noted. Two data-display bugs on admin.html (§1 below) were corrected during a prior session this week and are documented here for completeness, since the same underlying defect remains open elsewhere.</w:t>
      </w:r>
    </w:p>
    <w:p>
      <w:pPr>
        <w:pageBreakBefore/>
      </w:pPr>
      <w:r>
        <w:br/>
        <w:t xml:space="preserve"/>
      </w:r>
    </w:p>
    <w:p>
      <w:pPr>
        <w:pStyle w:val="Heading1"/>
        <w:spacing w:after="160" w:before="360"/>
      </w:pPr>
      <w:r>
        <w:t xml:space="preserve">Executive Summary</w:t>
      </w:r>
    </w:p>
    <w:p>
      <w:pPr>
        <w:spacing w:after="140" w:line="276"/>
      </w:pPr>
      <w:r>
        <w:t xml:space="preserve">This audit set out to answer the question behind the COO and CFO's complaints: why do the numbers on different screens of the same portal suite not agree with each other? The short answer is architectural, not accidental — the same headline metrics (8-year revenue history, city-level targets, counsellor routing) are pasted as separate hardcoded copies into three or more files instead of being computed once from a single source. When one copy gets corrected, the others silently keep the old, wrong logic. That single root cause explains most of what follows.</w:t>
      </w:r>
    </w:p>
    <w:p>
      <w:pPr>
        <w:spacing w:after="140" w:line="276"/>
      </w:pPr>
      <w:r>
        <w:t xml:space="preserve">Eight findings are documented below, one Critical, four High, two Medium, one Low. The Critical finding is a shared master password that lets any user log into any other user's account, which matters here because it undermines confidence in who actually entered or approved every other number in this report. The four High findings are concrete, provable numeric discrepancies and a real misrouting bug — not stylistic nitpicks — each with the exact files, line references, and the size of the resulting error.</w:t>
      </w:r>
    </w:p>
    <w:p>
      <w:pPr>
        <w:spacing w:after="140" w:line="276"/>
      </w:pPr>
      <w:r>
        <w:t xml:space="preserve">The recommended fix is not to patch each symptom individually but to consolidate: one revenue-history source, one GST-conversion helper, one live-vs-placeholder data convention, used by every portal. A prioritized remediation order is given in §4.</w:t>
      </w:r>
    </w:p>
    <w:p>
      <w:pPr>
        <w:pStyle w:val="Heading2"/>
        <w:spacing w:after="120" w:before="260"/>
      </w:pPr>
      <w:r>
        <w:t xml:space="preserve">Findings at a Glance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200"/>
        <w:gridCol w:w="2900"/>
      </w:tblGrid>
      <w:tr>
        <w:trPr>
          <w:tblHeader/>
        </w:trPr>
        <w:tc>
          <w:tcPr>
            <w:tcW w:type="dxa" w:w="500"/>
            <w:shd w:fill="0D1B2E" w:val="clear"/>
            <w:tcMar>
              <w:top w:type="dxa" w:w="80"/>
              <w:left w:type="dxa" w:w="100"/>
              <w:bottom w:type="dxa" w:w="80"/>
              <w:right w:type="dxa" w:w="100"/>
            </w:tcMar>
          </w:tcPr>
          <w:p>
            <w:r>
              <w:rPr>
                <w:b/>
                <w:bCs/>
                <w:color w:val="FFFFFF"/>
                <w:sz w:val="18"/>
                <w:szCs w:val="18"/>
              </w:rPr>
              <w:t xml:space="preserve">#</w:t>
            </w:r>
          </w:p>
        </w:tc>
        <w:tc>
          <w:tcPr>
            <w:tcW w:type="dxa" w:w="1600"/>
            <w:shd w:fill="0D1B2E" w:val="clear"/>
            <w:tcMar>
              <w:top w:type="dxa" w:w="80"/>
              <w:left w:type="dxa" w:w="100"/>
              <w:bottom w:type="dxa" w:w="80"/>
              <w:right w:type="dxa" w:w="100"/>
            </w:tcMar>
          </w:tcPr>
          <w:p>
            <w:r>
              <w:rPr>
                <w:b/>
                <w:bCs/>
                <w:color w:val="FFFFFF"/>
                <w:sz w:val="18"/>
                <w:szCs w:val="18"/>
              </w:rPr>
              <w:t xml:space="preserve">Severity</w:t>
            </w:r>
          </w:p>
        </w:tc>
        <w:tc>
          <w:tcPr>
            <w:tcW w:type="dxa" w:w="5200"/>
            <w:shd w:fill="0D1B2E" w:val="clear"/>
            <w:tcMar>
              <w:top w:type="dxa" w:w="80"/>
              <w:left w:type="dxa" w:w="100"/>
              <w:bottom w:type="dxa" w:w="80"/>
              <w:right w:type="dxa" w:w="100"/>
            </w:tcMar>
          </w:tcPr>
          <w:p>
            <w:r>
              <w:rPr>
                <w:b/>
                <w:bCs/>
                <w:color w:val="FFFFFF"/>
                <w:sz w:val="18"/>
                <w:szCs w:val="18"/>
              </w:rPr>
              <w:t xml:space="preserve">Finding</w:t>
            </w:r>
          </w:p>
        </w:tc>
        <w:tc>
          <w:tcPr>
            <w:tcW w:type="dxa" w:w="2900"/>
            <w:shd w:fill="0D1B2E" w:val="clear"/>
            <w:tcMar>
              <w:top w:type="dxa" w:w="80"/>
              <w:left w:type="dxa" w:w="100"/>
              <w:bottom w:type="dxa" w:w="80"/>
              <w:right w:type="dxa" w:w="100"/>
            </w:tcMar>
          </w:tcPr>
          <w:p>
            <w:r>
              <w:rPr>
                <w:b/>
                <w:bCs/>
                <w:color w:val="FFFFFF"/>
                <w:sz w:val="18"/>
                <w:szCs w:val="18"/>
              </w:rPr>
              <w:t xml:space="preserve">Portals affected</w:t>
            </w:r>
          </w:p>
        </w:tc>
      </w:tr>
      <w:tr>
        <w:tc>
          <w:tcPr>
            <w:tcW w:type="dxa" w:w="500"/>
            <w:shd w:fill="FFFFFF" w:val="clear"/>
            <w:tcMar>
              <w:top w:type="dxa" w:w="70"/>
              <w:left w:type="dxa" w:w="100"/>
              <w:bottom w:type="dxa" w:w="70"/>
              <w:right w:type="dxa" w:w="100"/>
            </w:tcMar>
          </w:tcPr>
          <w:p>
            <w:r>
              <w:rPr>
                <w:sz w:val="18"/>
                <w:szCs w:val="18"/>
              </w:rPr>
              <w:t xml:space="preserve">1</w:t>
            </w:r>
          </w:p>
        </w:tc>
        <w:tc>
          <w:tcPr>
            <w:tcW w:type="dxa" w:w="1600"/>
            <w:shd w:fill="FFFFFF" w:val="clear"/>
            <w:tcMar>
              <w:top w:type="dxa" w:w="70"/>
              <w:left w:type="dxa" w:w="100"/>
              <w:bottom w:type="dxa" w:w="70"/>
              <w:right w:type="dxa" w:w="100"/>
            </w:tcMar>
          </w:tcPr>
          <w:p>
            <w:r>
              <w:rPr>
                <w:b/>
                <w:bCs/>
                <w:color w:val="C0392B"/>
                <w:sz w:val="18"/>
                <w:szCs w:val="18"/>
              </w:rPr>
              <w:t xml:space="preserve">Critical</w:t>
            </w:r>
          </w:p>
        </w:tc>
        <w:tc>
          <w:tcPr>
            <w:tcW w:type="dxa" w:w="5200"/>
            <w:shd w:fill="FFFFFF" w:val="clear"/>
            <w:tcMar>
              <w:top w:type="dxa" w:w="70"/>
              <w:left w:type="dxa" w:w="100"/>
              <w:bottom w:type="dxa" w:w="70"/>
              <w:right w:type="dxa" w:w="100"/>
            </w:tcMar>
          </w:tcPr>
          <w:p>
            <w:r>
              <w:rPr>
                <w:sz w:val="18"/>
                <w:szCs w:val="18"/>
              </w:rPr>
              <w:t xml:space="preserve">Master-password login bypass — any name + one shared PIN logs in as that user</w:t>
            </w:r>
          </w:p>
        </w:tc>
        <w:tc>
          <w:tcPr>
            <w:tcW w:type="dxa" w:w="2900"/>
            <w:shd w:fill="FFFFFF" w:val="clear"/>
            <w:tcMar>
              <w:top w:type="dxa" w:w="70"/>
              <w:left w:type="dxa" w:w="100"/>
              <w:bottom w:type="dxa" w:w="70"/>
              <w:right w:type="dxa" w:w="100"/>
            </w:tcMar>
          </w:tcPr>
          <w:p>
            <w:r>
              <w:rPr>
                <w:color w:val="6B7280"/>
                <w:sz w:val="16"/>
                <w:szCs w:val="16"/>
              </w:rPr>
              <w:t xml:space="preserve">assets/shared.js</w:t>
            </w:r>
          </w:p>
        </w:tc>
      </w:tr>
      <w:tr>
        <w:tc>
          <w:tcPr>
            <w:tcW w:type="dxa" w:w="500"/>
            <w:shd w:fill="F2F2F2" w:val="clear"/>
            <w:tcMar>
              <w:top w:type="dxa" w:w="70"/>
              <w:left w:type="dxa" w:w="100"/>
              <w:bottom w:type="dxa" w:w="70"/>
              <w:right w:type="dxa" w:w="100"/>
            </w:tcMar>
          </w:tcPr>
          <w:p>
            <w:r>
              <w:rPr>
                <w:sz w:val="18"/>
                <w:szCs w:val="18"/>
              </w:rPr>
              <w:t xml:space="preserve">2</w:t>
            </w:r>
          </w:p>
        </w:tc>
        <w:tc>
          <w:tcPr>
            <w:tcW w:type="dxa" w:w="1600"/>
            <w:shd w:fill="F2F2F2" w:val="clear"/>
            <w:tcMar>
              <w:top w:type="dxa" w:w="70"/>
              <w:left w:type="dxa" w:w="100"/>
              <w:bottom w:type="dxa" w:w="70"/>
              <w:right w:type="dxa" w:w="100"/>
            </w:tcMar>
          </w:tcPr>
          <w:p>
            <w:r>
              <w:rPr>
                <w:b/>
                <w:bCs/>
                <w:color w:val="B7791F"/>
                <w:sz w:val="18"/>
                <w:szCs w:val="18"/>
              </w:rPr>
              <w:t xml:space="preserve">High</w:t>
            </w:r>
          </w:p>
        </w:tc>
        <w:tc>
          <w:tcPr>
            <w:tcW w:type="dxa" w:w="5200"/>
            <w:shd w:fill="F2F2F2" w:val="clear"/>
            <w:tcMar>
              <w:top w:type="dxa" w:w="70"/>
              <w:left w:type="dxa" w:w="100"/>
              <w:bottom w:type="dxa" w:w="70"/>
              <w:right w:type="dxa" w:w="100"/>
            </w:tcMar>
          </w:tcPr>
          <w:p>
            <w:r>
              <w:rPr>
                <w:sz w:val="18"/>
                <w:szCs w:val="18"/>
              </w:rPr>
              <w:t xml:space="preserve">“8-Year Revenue” shown three different ways across three portals (up to ~18% apart)</w:t>
            </w:r>
          </w:p>
        </w:tc>
        <w:tc>
          <w:tcPr>
            <w:tcW w:type="dxa" w:w="2900"/>
            <w:shd w:fill="F2F2F2" w:val="clear"/>
            <w:tcMar>
              <w:top w:type="dxa" w:w="70"/>
              <w:left w:type="dxa" w:w="100"/>
              <w:bottom w:type="dxa" w:w="70"/>
              <w:right w:type="dxa" w:w="100"/>
            </w:tcMar>
          </w:tcPr>
          <w:p>
            <w:r>
              <w:rPr>
                <w:color w:val="6B7280"/>
                <w:sz w:val="16"/>
                <w:szCs w:val="16"/>
              </w:rPr>
              <w:t xml:space="preserve">admin.html, hr.html, igi-ceo-portal.html</w:t>
            </w:r>
          </w:p>
        </w:tc>
      </w:tr>
      <w:tr>
        <w:tc>
          <w:tcPr>
            <w:tcW w:type="dxa" w:w="500"/>
            <w:shd w:fill="FFFFFF" w:val="clear"/>
            <w:tcMar>
              <w:top w:type="dxa" w:w="70"/>
              <w:left w:type="dxa" w:w="100"/>
              <w:bottom w:type="dxa" w:w="70"/>
              <w:right w:type="dxa" w:w="100"/>
            </w:tcMar>
          </w:tcPr>
          <w:p>
            <w:r>
              <w:rPr>
                <w:sz w:val="18"/>
                <w:szCs w:val="18"/>
              </w:rPr>
              <w:t xml:space="preserve">3</w:t>
            </w:r>
          </w:p>
        </w:tc>
        <w:tc>
          <w:tcPr>
            <w:tcW w:type="dxa" w:w="1600"/>
            <w:shd w:fill="FFFFFF" w:val="clear"/>
            <w:tcMar>
              <w:top w:type="dxa" w:w="70"/>
              <w:left w:type="dxa" w:w="100"/>
              <w:bottom w:type="dxa" w:w="70"/>
              <w:right w:type="dxa" w:w="100"/>
            </w:tcMar>
          </w:tcPr>
          <w:p>
            <w:r>
              <w:rPr>
                <w:b/>
                <w:bCs/>
                <w:color w:val="B7791F"/>
                <w:sz w:val="18"/>
                <w:szCs w:val="18"/>
              </w:rPr>
              <w:t xml:space="preserve">High</w:t>
            </w:r>
          </w:p>
        </w:tc>
        <w:tc>
          <w:tcPr>
            <w:tcW w:type="dxa" w:w="5200"/>
            <w:shd w:fill="FFFFFF" w:val="clear"/>
            <w:tcMar>
              <w:top w:type="dxa" w:w="70"/>
              <w:left w:type="dxa" w:w="100"/>
              <w:bottom w:type="dxa" w:w="70"/>
              <w:right w:type="dxa" w:w="100"/>
            </w:tcMar>
          </w:tcPr>
          <w:p>
            <w:r>
              <w:rPr>
                <w:sz w:val="18"/>
                <w:szCs w:val="18"/>
              </w:rPr>
              <w:t xml:space="preserve">CRM lead misrouting — “Arpita” vs “Arpitta” name mismatch drops leads from her queue</w:t>
            </w:r>
          </w:p>
        </w:tc>
        <w:tc>
          <w:tcPr>
            <w:tcW w:type="dxa" w:w="2900"/>
            <w:shd w:fill="FFFFFF" w:val="clear"/>
            <w:tcMar>
              <w:top w:type="dxa" w:w="70"/>
              <w:left w:type="dxa" w:w="100"/>
              <w:bottom w:type="dxa" w:w="70"/>
              <w:right w:type="dxa" w:w="100"/>
            </w:tcMar>
          </w:tcPr>
          <w:p>
            <w:r>
              <w:rPr>
                <w:color w:val="6B7280"/>
                <w:sz w:val="16"/>
                <w:szCs w:val="16"/>
              </w:rPr>
              <w:t xml:space="preserve">admin.html, shared.js, fb-webhook.js</w:t>
            </w:r>
          </w:p>
        </w:tc>
      </w:tr>
      <w:tr>
        <w:tc>
          <w:tcPr>
            <w:tcW w:type="dxa" w:w="500"/>
            <w:shd w:fill="F2F2F2" w:val="clear"/>
            <w:tcMar>
              <w:top w:type="dxa" w:w="70"/>
              <w:left w:type="dxa" w:w="100"/>
              <w:bottom w:type="dxa" w:w="70"/>
              <w:right w:type="dxa" w:w="100"/>
            </w:tcMar>
          </w:tcPr>
          <w:p>
            <w:r>
              <w:rPr>
                <w:sz w:val="18"/>
                <w:szCs w:val="18"/>
              </w:rPr>
              <w:t xml:space="preserve">4</w:t>
            </w:r>
          </w:p>
        </w:tc>
        <w:tc>
          <w:tcPr>
            <w:tcW w:type="dxa" w:w="1600"/>
            <w:shd w:fill="F2F2F2" w:val="clear"/>
            <w:tcMar>
              <w:top w:type="dxa" w:w="70"/>
              <w:left w:type="dxa" w:w="100"/>
              <w:bottom w:type="dxa" w:w="70"/>
              <w:right w:type="dxa" w:w="100"/>
            </w:tcMar>
          </w:tcPr>
          <w:p>
            <w:r>
              <w:rPr>
                <w:b/>
                <w:bCs/>
                <w:color w:val="B7791F"/>
                <w:sz w:val="18"/>
                <w:szCs w:val="18"/>
              </w:rPr>
              <w:t xml:space="preserve">High</w:t>
            </w:r>
          </w:p>
        </w:tc>
        <w:tc>
          <w:tcPr>
            <w:tcW w:type="dxa" w:w="5200"/>
            <w:shd w:fill="F2F2F2" w:val="clear"/>
            <w:tcMar>
              <w:top w:type="dxa" w:w="70"/>
              <w:left w:type="dxa" w:w="100"/>
              <w:bottom w:type="dxa" w:w="70"/>
              <w:right w:type="dxa" w:w="100"/>
            </w:tcMar>
          </w:tcPr>
          <w:p>
            <w:r>
              <w:rPr>
                <w:sz w:val="18"/>
                <w:szCs w:val="18"/>
              </w:rPr>
              <w:t xml:space="preserve">CEO dashboard silently shows fabricated placeholder data with no live/stale indicator</w:t>
            </w:r>
          </w:p>
        </w:tc>
        <w:tc>
          <w:tcPr>
            <w:tcW w:type="dxa" w:w="2900"/>
            <w:shd w:fill="F2F2F2" w:val="clear"/>
            <w:tcMar>
              <w:top w:type="dxa" w:w="70"/>
              <w:left w:type="dxa" w:w="100"/>
              <w:bottom w:type="dxa" w:w="70"/>
              <w:right w:type="dxa" w:w="100"/>
            </w:tcMar>
          </w:tcPr>
          <w:p>
            <w:r>
              <w:rPr>
                <w:color w:val="6B7280"/>
                <w:sz w:val="16"/>
                <w:szCs w:val="16"/>
              </w:rPr>
              <w:t xml:space="preserve">igi-ceo-portal.html</w:t>
            </w:r>
          </w:p>
        </w:tc>
      </w:tr>
      <w:tr>
        <w:tc>
          <w:tcPr>
            <w:tcW w:type="dxa" w:w="500"/>
            <w:shd w:fill="FFFFFF" w:val="clear"/>
            <w:tcMar>
              <w:top w:type="dxa" w:w="70"/>
              <w:left w:type="dxa" w:w="100"/>
              <w:bottom w:type="dxa" w:w="70"/>
              <w:right w:type="dxa" w:w="100"/>
            </w:tcMar>
          </w:tcPr>
          <w:p>
            <w:r>
              <w:rPr>
                <w:sz w:val="18"/>
                <w:szCs w:val="18"/>
              </w:rPr>
              <w:t xml:space="preserve">5</w:t>
            </w:r>
          </w:p>
        </w:tc>
        <w:tc>
          <w:tcPr>
            <w:tcW w:type="dxa" w:w="1600"/>
            <w:shd w:fill="FFFFFF" w:val="clear"/>
            <w:tcMar>
              <w:top w:type="dxa" w:w="70"/>
              <w:left w:type="dxa" w:w="100"/>
              <w:bottom w:type="dxa" w:w="70"/>
              <w:right w:type="dxa" w:w="100"/>
            </w:tcMar>
          </w:tcPr>
          <w:p>
            <w:r>
              <w:rPr>
                <w:b/>
                <w:bCs/>
                <w:color w:val="B7791F"/>
                <w:sz w:val="18"/>
                <w:szCs w:val="18"/>
              </w:rPr>
              <w:t xml:space="preserve">High</w:t>
            </w:r>
          </w:p>
        </w:tc>
        <w:tc>
          <w:tcPr>
            <w:tcW w:type="dxa" w:w="5200"/>
            <w:shd w:fill="FFFFFF" w:val="clear"/>
            <w:tcMar>
              <w:top w:type="dxa" w:w="70"/>
              <w:left w:type="dxa" w:w="100"/>
              <w:bottom w:type="dxa" w:w="70"/>
              <w:right w:type="dxa" w:w="100"/>
            </w:tcMar>
          </w:tcPr>
          <w:p>
            <w:r>
              <w:rPr>
                <w:sz w:val="18"/>
                <w:szCs w:val="18"/>
              </w:rPr>
              <w:t xml:space="preserve">City Performance table capped to a fixed 10-city list; new/renamed centres vanish silently</w:t>
            </w:r>
          </w:p>
        </w:tc>
        <w:tc>
          <w:tcPr>
            <w:tcW w:type="dxa" w:w="2900"/>
            <w:shd w:fill="FFFFFF" w:val="clear"/>
            <w:tcMar>
              <w:top w:type="dxa" w:w="70"/>
              <w:left w:type="dxa" w:w="100"/>
              <w:bottom w:type="dxa" w:w="70"/>
              <w:right w:type="dxa" w:w="100"/>
            </w:tcMar>
          </w:tcPr>
          <w:p>
            <w:r>
              <w:rPr>
                <w:color w:val="6B7280"/>
                <w:sz w:val="16"/>
                <w:szCs w:val="16"/>
              </w:rPr>
              <w:t xml:space="preserve">admin.html</w:t>
            </w:r>
          </w:p>
        </w:tc>
      </w:tr>
      <w:tr>
        <w:tc>
          <w:tcPr>
            <w:tcW w:type="dxa" w:w="500"/>
            <w:shd w:fill="F2F2F2" w:val="clear"/>
            <w:tcMar>
              <w:top w:type="dxa" w:w="70"/>
              <w:left w:type="dxa" w:w="100"/>
              <w:bottom w:type="dxa" w:w="70"/>
              <w:right w:type="dxa" w:w="100"/>
            </w:tcMar>
          </w:tcPr>
          <w:p>
            <w:r>
              <w:rPr>
                <w:sz w:val="18"/>
                <w:szCs w:val="18"/>
              </w:rPr>
              <w:t xml:space="preserve">6</w:t>
            </w:r>
          </w:p>
        </w:tc>
        <w:tc>
          <w:tcPr>
            <w:tcW w:type="dxa" w:w="1600"/>
            <w:shd w:fill="F2F2F2" w:val="clear"/>
            <w:tcMar>
              <w:top w:type="dxa" w:w="70"/>
              <w:left w:type="dxa" w:w="100"/>
              <w:bottom w:type="dxa" w:w="70"/>
              <w:right w:type="dxa" w:w="100"/>
            </w:tcMar>
          </w:tcPr>
          <w:p>
            <w:r>
              <w:rPr>
                <w:b/>
                <w:bCs/>
                <w:color w:val="946200"/>
                <w:sz w:val="18"/>
                <w:szCs w:val="18"/>
              </w:rPr>
              <w:t xml:space="preserve">Medium</w:t>
            </w:r>
          </w:p>
        </w:tc>
        <w:tc>
          <w:tcPr>
            <w:tcW w:type="dxa" w:w="5200"/>
            <w:shd w:fill="F2F2F2" w:val="clear"/>
            <w:tcMar>
              <w:top w:type="dxa" w:w="70"/>
              <w:left w:type="dxa" w:w="100"/>
              <w:bottom w:type="dxa" w:w="70"/>
              <w:right w:type="dxa" w:w="100"/>
            </w:tcMar>
          </w:tcPr>
          <w:p>
            <w:r>
              <w:rPr>
                <w:sz w:val="18"/>
                <w:szCs w:val="18"/>
              </w:rPr>
              <w:t xml:space="preserve">GST conversion done by hand in each file instead of one shared helper — easy to omit (as in #2)</w:t>
            </w:r>
          </w:p>
        </w:tc>
        <w:tc>
          <w:tcPr>
            <w:tcW w:type="dxa" w:w="2900"/>
            <w:shd w:fill="F2F2F2" w:val="clear"/>
            <w:tcMar>
              <w:top w:type="dxa" w:w="70"/>
              <w:left w:type="dxa" w:w="100"/>
              <w:bottom w:type="dxa" w:w="70"/>
              <w:right w:type="dxa" w:w="100"/>
            </w:tcMar>
          </w:tcPr>
          <w:p>
            <w:r>
              <w:rPr>
                <w:color w:val="6B7280"/>
                <w:sz w:val="16"/>
                <w:szCs w:val="16"/>
              </w:rPr>
              <w:t xml:space="preserve">admin.html, counselor.html, hr.html, shared.js</w:t>
            </w:r>
          </w:p>
        </w:tc>
      </w:tr>
      <w:tr>
        <w:tc>
          <w:tcPr>
            <w:tcW w:type="dxa" w:w="500"/>
            <w:shd w:fill="FFFFFF" w:val="clear"/>
            <w:tcMar>
              <w:top w:type="dxa" w:w="70"/>
              <w:left w:type="dxa" w:w="100"/>
              <w:bottom w:type="dxa" w:w="70"/>
              <w:right w:type="dxa" w:w="100"/>
            </w:tcMar>
          </w:tcPr>
          <w:p>
            <w:r>
              <w:rPr>
                <w:sz w:val="18"/>
                <w:szCs w:val="18"/>
              </w:rPr>
              <w:t xml:space="preserve">7</w:t>
            </w:r>
          </w:p>
        </w:tc>
        <w:tc>
          <w:tcPr>
            <w:tcW w:type="dxa" w:w="1600"/>
            <w:shd w:fill="FFFFFF" w:val="clear"/>
            <w:tcMar>
              <w:top w:type="dxa" w:w="70"/>
              <w:left w:type="dxa" w:w="100"/>
              <w:bottom w:type="dxa" w:w="70"/>
              <w:right w:type="dxa" w:w="100"/>
            </w:tcMar>
          </w:tcPr>
          <w:p>
            <w:r>
              <w:rPr>
                <w:b/>
                <w:bCs/>
                <w:color w:val="946200"/>
                <w:sz w:val="18"/>
                <w:szCs w:val="18"/>
              </w:rPr>
              <w:t xml:space="preserve">Medium</w:t>
            </w:r>
          </w:p>
        </w:tc>
        <w:tc>
          <w:tcPr>
            <w:tcW w:type="dxa" w:w="5200"/>
            <w:shd w:fill="FFFFFF" w:val="clear"/>
            <w:tcMar>
              <w:top w:type="dxa" w:w="70"/>
              <w:left w:type="dxa" w:w="100"/>
              <w:bottom w:type="dxa" w:w="70"/>
              <w:right w:type="dxa" w:w="100"/>
            </w:tcMar>
          </w:tcPr>
          <w:p>
            <w:r>
              <w:rPr>
                <w:sz w:val="18"/>
                <w:szCs w:val="18"/>
              </w:rPr>
              <w:t xml:space="preserve">Dead no-op save function wired to a hidden button (currently unreachable, but a landmine)</w:t>
            </w:r>
          </w:p>
        </w:tc>
        <w:tc>
          <w:tcPr>
            <w:tcW w:type="dxa" w:w="2900"/>
            <w:shd w:fill="FFFFFF" w:val="clear"/>
            <w:tcMar>
              <w:top w:type="dxa" w:w="70"/>
              <w:left w:type="dxa" w:w="100"/>
              <w:bottom w:type="dxa" w:w="70"/>
              <w:right w:type="dxa" w:w="100"/>
            </w:tcMar>
          </w:tcPr>
          <w:p>
            <w:r>
              <w:rPr>
                <w:color w:val="6B7280"/>
                <w:sz w:val="16"/>
                <w:szCs w:val="16"/>
              </w:rPr>
              <w:t xml:space="preserve">counselor.html</w:t>
            </w:r>
          </w:p>
        </w:tc>
      </w:tr>
      <w:tr>
        <w:tc>
          <w:tcPr>
            <w:tcW w:type="dxa" w:w="500"/>
            <w:shd w:fill="F2F2F2" w:val="clear"/>
            <w:tcMar>
              <w:top w:type="dxa" w:w="70"/>
              <w:left w:type="dxa" w:w="100"/>
              <w:bottom w:type="dxa" w:w="70"/>
              <w:right w:type="dxa" w:w="100"/>
            </w:tcMar>
          </w:tcPr>
          <w:p>
            <w:r>
              <w:rPr>
                <w:sz w:val="18"/>
                <w:szCs w:val="18"/>
              </w:rPr>
              <w:t xml:space="preserve">8</w:t>
            </w:r>
          </w:p>
        </w:tc>
        <w:tc>
          <w:tcPr>
            <w:tcW w:type="dxa" w:w="1600"/>
            <w:shd w:fill="F2F2F2" w:val="clear"/>
            <w:tcMar>
              <w:top w:type="dxa" w:w="70"/>
              <w:left w:type="dxa" w:w="100"/>
              <w:bottom w:type="dxa" w:w="70"/>
              <w:right w:type="dxa" w:w="100"/>
            </w:tcMar>
          </w:tcPr>
          <w:p>
            <w:r>
              <w:rPr>
                <w:b/>
                <w:bCs/>
                <w:color w:val="6B7280"/>
                <w:sz w:val="18"/>
                <w:szCs w:val="18"/>
              </w:rPr>
              <w:t xml:space="preserve">Low</w:t>
            </w:r>
          </w:p>
        </w:tc>
        <w:tc>
          <w:tcPr>
            <w:tcW w:type="dxa" w:w="5200"/>
            <w:shd w:fill="F2F2F2" w:val="clear"/>
            <w:tcMar>
              <w:top w:type="dxa" w:w="70"/>
              <w:left w:type="dxa" w:w="100"/>
              <w:bottom w:type="dxa" w:w="70"/>
              <w:right w:type="dxa" w:w="100"/>
            </w:tcMar>
          </w:tcPr>
          <w:p>
            <w:r>
              <w:rPr>
                <w:sz w:val="18"/>
                <w:szCs w:val="18"/>
              </w:rPr>
              <w:t xml:space="preserve">Good-practice example: Diamond Calculator correctly labels its numbers as estimates</w:t>
            </w:r>
          </w:p>
        </w:tc>
        <w:tc>
          <w:tcPr>
            <w:tcW w:type="dxa" w:w="2900"/>
            <w:shd w:fill="F2F2F2" w:val="clear"/>
            <w:tcMar>
              <w:top w:type="dxa" w:w="70"/>
              <w:left w:type="dxa" w:w="100"/>
              <w:bottom w:type="dxa" w:w="70"/>
              <w:right w:type="dxa" w:w="100"/>
            </w:tcMar>
          </w:tcPr>
          <w:p>
            <w:r>
              <w:rPr>
                <w:color w:val="6B7280"/>
                <w:sz w:val="16"/>
                <w:szCs w:val="16"/>
              </w:rPr>
              <w:t xml:space="preserve">instructor-portal.html</w:t>
            </w:r>
          </w:p>
        </w:tc>
      </w:tr>
    </w:tbl>
    <w:p>
      <w:pPr>
        <w:pageBreakBefore/>
      </w:pPr>
      <w:r>
        <w:t xml:space="preserve"/>
      </w:r>
    </w:p>
    <w:p>
      <w:pPr>
        <w:pStyle w:val="Heading1"/>
        <w:spacing w:after="160" w:before="360"/>
      </w:pPr>
      <w:r>
        <w:t xml:space="preserve">1. Corrected During This Engagement (Reference)</w:t>
      </w:r>
    </w:p>
    <w:p>
      <w:pPr>
        <w:spacing w:after="140" w:line="276"/>
      </w:pPr>
      <w:r>
        <w:t xml:space="preserve">Two defects were found and fixed on admin.html's Historical Intelligence tab prior to this formal audit. Both are included here because the same source data still carries both defects, unfixed, on hr.html — direct evidence for Finding 2.</w:t>
      </w:r>
    </w:p>
    <w:p>
      <w:pPr>
        <w:pStyle w:val="Heading2"/>
        <w:spacing w:after="120" w:before="260"/>
      </w:pPr>
      <w:r>
        <w:t xml:space="preserve">1.1 Seasonality heatmap mislabeled future months as “COVID lockdown”</w:t>
      </w:r>
    </w:p>
    <w:p>
      <w:pPr>
        <w:spacing w:after="140" w:line="276"/>
      </w:pPr>
      <w:r>
        <w:t xml:space="preserve">Months that simply hadn't happened yet (June 2026 onward) were tagged “LD” — the same tag used for the genuine April–May 2020 lockdown — with no way to tell them apart. Fixed by distinguishing “no data because it's the future” (grey dash) from “no data because of lockdown” (red LD), and adding a numeric colour-scale legend that the chart previously lacked entirely.</w:t>
      </w:r>
    </w:p>
    <w:p>
      <w:pPr>
        <w:pStyle w:val="Heading2"/>
        <w:spacing w:after="120" w:before="260"/>
      </w:pPr>
      <w:r>
        <w:t xml:space="preserve">1.2 Year-over-year growth line compared a partial year to a full year</w:t>
      </w:r>
    </w:p>
    <w:p>
      <w:pPr>
        <w:spacing w:after="140" w:line="276"/>
      </w:pPr>
      <w:r>
        <w:t xml:space="preserve">The YoY % line divided 2026's five months of revenue (₹2.84Cr) by all twelve months of 2025 (₹4.41Cr), producing roughly −36% — read by anyone glancing at the chart as “2026 is collapsing.” The correct like-for-like comparison (Jan–May 2026 vs. Jan–May 2025) is +33% growth — the opposite conclusion. Fixed by only comparing months present in both years.</w:t>
      </w:r>
    </w:p>
    <w:p>
      <w:pPr>
        <w:spacing w:after="140" w:line="276"/>
      </w:pPr>
      <w:r>
        <w:t xml:space="preserve">hr.html's Historical chart is built from its own separate copy of the same revenue data and does not run either fix — see Finding 2.</w:t>
      </w:r>
    </w:p>
    <w:p>
      <w:pPr>
        <w:pageBreakBefore/>
      </w:pPr>
      <w:r>
        <w:t xml:space="preserve"/>
      </w:r>
    </w:p>
    <w:p>
      <w:pPr>
        <w:pStyle w:val="Heading1"/>
        <w:spacing w:after="160" w:before="360"/>
      </w:pPr>
      <w:r>
        <w:t xml:space="preserve">2. Detailed Findings</w:t>
      </w:r>
    </w:p>
    <w:p>
      <w:pPr>
        <w:spacing w:after="60" w:before="320"/>
      </w:pPr>
      <w:r>
        <w:rPr>
          <w:b/>
          <w:bCs/>
          <w:color w:val="0D1B2E"/>
          <w:sz w:val="24"/>
          <w:szCs w:val="24"/>
        </w:rPr>
        <w:t xml:space="preserve">Finding 1 — </w:t>
      </w:r>
      <w:r>
        <w:rPr>
          <w:b/>
          <w:bCs/>
          <w:color w:val="0D1B2E"/>
          <w:sz w:val="24"/>
          <w:szCs w:val="24"/>
        </w:rPr>
        <w:t xml:space="preserve">Master-password authentication bypass</w:t>
      </w:r>
    </w:p>
    <w:tbl>
      <w:tblPr>
        <w:tblW w:type="dxa" w:w="1700"/>
        <w:tblBorders>
          <w:top w:val="none"/>
          <w:left w:val="none"/>
          <w:bottom w:val="none"/>
          <w:right w:val="none"/>
          <w:insideH w:val="none"/>
          <w:insideV w:val="none"/>
        </w:tblBorders>
      </w:tblPr>
      <w:tblGrid>
        <w:gridCol w:w="100"/>
      </w:tblGrid>
      <w:tr>
        <w:tc>
          <w:tcPr>
            <w:tcW w:type="dxa" w:w="1700"/>
            <w:shd w:fill="C0392B" w:val="clear"/>
            <w:tcMar>
              <w:top w:type="dxa" w:w="60"/>
              <w:left w:type="dxa" w:w="120"/>
              <w:bottom w:type="dxa" w:w="60"/>
              <w:right w:type="dxa" w:w="120"/>
            </w:tcMar>
          </w:tcPr>
          <w:p>
            <w:pPr>
              <w:jc w:val="center"/>
            </w:pPr>
            <w:r>
              <w:rPr>
                <w:b/>
                <w:bCs/>
                <w:color w:val="FFFFFF"/>
                <w:sz w:val="18"/>
                <w:szCs w:val="18"/>
              </w:rPr>
              <w:t xml:space="preserve">CRITICAL</w:t>
            </w:r>
          </w:p>
        </w:tc>
      </w:tr>
    </w:tbl>
    <w:p>
      <w:pPr>
        <w:spacing w:after="60"/>
      </w:pPr>
      <w:r>
        <w:rPr>
          <w:b/>
          <w:bCs/>
          <w:color w:val="0D1B2E"/>
          <w:sz w:val="20"/>
          <w:szCs w:val="20"/>
        </w:rPr>
        <w:t xml:space="preserve">Files:  </w:t>
      </w:r>
      <w:r>
        <w:rPr>
          <w:sz w:val="20"/>
          <w:szCs w:val="20"/>
        </w:rPr>
        <w:t xml:space="preserve">assets/shared.js, lines ~834–869 (h_counselorLogin / login handler)</w:t>
      </w:r>
    </w:p>
    <w:p>
      <w:pPr>
        <w:spacing w:after="60"/>
      </w:pPr>
      <w:r>
        <w:rPr>
          <w:b/>
          <w:bCs/>
          <w:color w:val="0D1B2E"/>
          <w:sz w:val="20"/>
          <w:szCs w:val="20"/>
        </w:rPr>
        <w:t xml:space="preserve">What's there:  </w:t>
      </w:r>
      <w:r>
        <w:rPr>
          <w:sz w:val="20"/>
          <w:szCs w:val="20"/>
        </w:rPr>
        <w:t xml:space="preserve">A hardcoded constant, isMasterPin = (pin === 'IGIMaster2026'), is checked for every login attempt. If it matches, the app skips the real password-hash check entirely and logs the user in as whatever name was typed — counsellor, instructor, manager, or Admin — with that person's real permissions.</w:t>
      </w:r>
    </w:p>
    <w:p>
      <w:pPr>
        <w:spacing w:after="60"/>
      </w:pPr>
      <w:r>
        <w:rPr>
          <w:b/>
          <w:bCs/>
          <w:color w:val="0D1B2E"/>
          <w:sz w:val="20"/>
          <w:szCs w:val="20"/>
        </w:rPr>
        <w:t xml:space="preserve">Why it matters:  </w:t>
      </w:r>
      <w:r>
        <w:rPr>
          <w:sz w:val="20"/>
          <w:szCs w:val="20"/>
        </w:rPr>
        <w:t xml:space="preserve">This string ships in plaintext inside a client-side JavaScript file that every browser downloads to view any portal. Anyone who opens browser dev tools can find it in under a minute and log in as any staff member by name alone. Every figure in this report, and every approval/marks-entry/revenue-entry in the system, ultimately rests on “who actually did this” being trustworthy — this bypass removes that guarantee at the root.</w:t>
      </w:r>
    </w:p>
    <w:p>
      <w:pPr>
        <w:spacing w:after="60"/>
      </w:pPr>
      <w:r>
        <w:rPr>
          <w:b/>
          <w:bCs/>
          <w:color w:val="0D1B2E"/>
          <w:sz w:val="20"/>
          <w:szCs w:val="20"/>
        </w:rPr>
        <w:t xml:space="preserve">Recommendation:  </w:t>
      </w:r>
      <w:r>
        <w:rPr>
          <w:sz w:val="20"/>
          <w:szCs w:val="20"/>
        </w:rPr>
        <w:t xml:space="preserve">Remove the client-side bypass. If a break-glass admin override is genuinely needed for support purposes, move it server-side, log every use with a timestamp and reason, and rotate it like a credential — not a string baked into a public JS file.</w:t>
      </w:r>
    </w:p>
    <w:p>
      <w:pPr>
        <w:spacing w:after="60" w:before="320"/>
      </w:pPr>
      <w:r>
        <w:rPr>
          <w:b/>
          <w:bCs/>
          <w:color w:val="0D1B2E"/>
          <w:sz w:val="24"/>
          <w:szCs w:val="24"/>
        </w:rPr>
        <w:t xml:space="preserve">Finding 2 — </w:t>
      </w:r>
      <w:r>
        <w:rPr>
          <w:b/>
          <w:bCs/>
          <w:color w:val="0D1B2E"/>
          <w:sz w:val="24"/>
          <w:szCs w:val="24"/>
        </w:rPr>
        <w:t xml:space="preserve">“8-Year Revenue” figures disagree by up to ~18% across portals</w:t>
      </w:r>
    </w:p>
    <w:tbl>
      <w:tblPr>
        <w:tblW w:type="dxa" w:w="1700"/>
        <w:tblBorders>
          <w:top w:val="none"/>
          <w:left w:val="none"/>
          <w:bottom w:val="none"/>
          <w:right w:val="none"/>
          <w:insideH w:val="none"/>
          <w:insideV w:val="none"/>
        </w:tblBorders>
      </w:tblPr>
      <w:tblGrid>
        <w:gridCol w:w="100"/>
      </w:tblGrid>
      <w:tr>
        <w:tc>
          <w:tcPr>
            <w:tcW w:type="dxa" w:w="1700"/>
            <w:shd w:fill="B7791F" w:val="clear"/>
            <w:tcMar>
              <w:top w:type="dxa" w:w="60"/>
              <w:left w:type="dxa" w:w="120"/>
              <w:bottom w:type="dxa" w:w="60"/>
              <w:right w:type="dxa" w:w="120"/>
            </w:tcMar>
          </w:tcPr>
          <w:p>
            <w:pPr>
              <w:jc w:val="center"/>
            </w:pPr>
            <w:r>
              <w:rPr>
                <w:b/>
                <w:bCs/>
                <w:color w:val="FFFFFF"/>
                <w:sz w:val="18"/>
                <w:szCs w:val="18"/>
              </w:rPr>
              <w:t xml:space="preserve">HIGH</w:t>
            </w:r>
          </w:p>
        </w:tc>
      </w:tr>
    </w:tbl>
    <w:p>
      <w:pPr>
        <w:spacing w:after="60"/>
      </w:pPr>
      <w:r>
        <w:rPr>
          <w:b/>
          <w:bCs/>
          <w:color w:val="0D1B2E"/>
          <w:sz w:val="20"/>
          <w:szCs w:val="20"/>
        </w:rPr>
        <w:t xml:space="preserve">Files:  </w:t>
      </w:r>
      <w:r>
        <w:rPr>
          <w:sz w:val="20"/>
          <w:szCs w:val="20"/>
        </w:rPr>
        <w:t xml:space="preserve">admin.html (HIST_REVENUE, line ~6714), hr.html (HIST_REVENUE, line ~362), igi-ceo-portal.html (HIST, line ~1109)</w:t>
      </w:r>
    </w:p>
    <w:p>
      <w:pPr>
        <w:spacing w:after="60"/>
      </w:pPr>
      <w:r>
        <w:rPr>
          <w:b/>
          <w:bCs/>
          <w:color w:val="0D1B2E"/>
          <w:sz w:val="20"/>
          <w:szCs w:val="20"/>
        </w:rPr>
        <w:t xml:space="preserve">What's there:  </w:t>
      </w:r>
      <w:r>
        <w:rPr>
          <w:sz w:val="20"/>
          <w:szCs w:val="20"/>
        </w:rPr>
        <w:t xml:space="preserve">admin.html and hr.html both hardcode an identical month-by-month 2018–2026 revenue array. admin.html's own code comment confirms these numbers are GST-inclusive, and admin.html correctly divides every figure by 1.18 before display. hr.html displays the exact same raw numbers with no GST adjustment at all, while its caption explicitly claims “Revenue excl. GST.” For every one of the nine years shown, hr.html's bar will read about 18% higher than admin.html's bar for what is supposed to be the same number. Separately, igi-ceo-portal.html carries a third hardcoded array (by fiscal year, in ₹ Cr) with different figures again — its own comment says it's “mirroring HIST_REVENUE in hr.html,” but the values don't actually match.</w:t>
      </w:r>
    </w:p>
    <w:p>
      <w:pPr>
        <w:spacing w:after="60"/>
      </w:pPr>
      <w:r>
        <w:rPr>
          <w:b/>
          <w:bCs/>
          <w:color w:val="0D1B2E"/>
          <w:sz w:val="20"/>
          <w:szCs w:val="20"/>
        </w:rPr>
        <w:t xml:space="preserve">Why it matters:  </w:t>
      </w:r>
      <w:r>
        <w:rPr>
          <w:sz w:val="20"/>
          <w:szCs w:val="20"/>
        </w:rPr>
        <w:t xml:space="preserve">This is precisely the kind of side-by-side inconsistency a CFO comparing two open tabs would flag immediately — and correctly so, since it's a real, provable 18% gap in the underlying arithmetic, not a rendering difference.</w:t>
      </w:r>
    </w:p>
    <w:p>
      <w:pPr>
        <w:spacing w:after="60"/>
      </w:pPr>
      <w:r>
        <w:rPr>
          <w:b/>
          <w:bCs/>
          <w:color w:val="0D1B2E"/>
          <w:sz w:val="20"/>
          <w:szCs w:val="20"/>
        </w:rPr>
        <w:t xml:space="preserve">Recommendation:  </w:t>
      </w:r>
      <w:r>
        <w:rPr>
          <w:sz w:val="20"/>
          <w:szCs w:val="20"/>
        </w:rPr>
        <w:t xml:space="preserve">Delete the duplicate arrays. Compute historical revenue once — ideally by querying the live revenue tables that already exist in Supabase, or at minimum from a single shared constants file imported by all three portals — and apply the GST conversion in exactly one place.</w:t>
      </w:r>
    </w:p>
    <w:p>
      <w:pPr>
        <w:spacing w:after="60" w:before="320"/>
      </w:pPr>
      <w:r>
        <w:rPr>
          <w:b/>
          <w:bCs/>
          <w:color w:val="0D1B2E"/>
          <w:sz w:val="24"/>
          <w:szCs w:val="24"/>
        </w:rPr>
        <w:t xml:space="preserve">Finding 3 — </w:t>
      </w:r>
      <w:r>
        <w:rPr>
          <w:b/>
          <w:bCs/>
          <w:color w:val="0D1B2E"/>
          <w:sz w:val="24"/>
          <w:szCs w:val="24"/>
        </w:rPr>
        <w:t xml:space="preserve">CRM lead misrouting: “Arpita” vs. “Arpitta”</w:t>
      </w:r>
    </w:p>
    <w:tbl>
      <w:tblPr>
        <w:tblW w:type="dxa" w:w="1700"/>
        <w:tblBorders>
          <w:top w:val="none"/>
          <w:left w:val="none"/>
          <w:bottom w:val="none"/>
          <w:right w:val="none"/>
          <w:insideH w:val="none"/>
          <w:insideV w:val="none"/>
        </w:tblBorders>
      </w:tblPr>
      <w:tblGrid>
        <w:gridCol w:w="100"/>
      </w:tblGrid>
      <w:tr>
        <w:tc>
          <w:tcPr>
            <w:tcW w:type="dxa" w:w="1700"/>
            <w:shd w:fill="B7791F" w:val="clear"/>
            <w:tcMar>
              <w:top w:type="dxa" w:w="60"/>
              <w:left w:type="dxa" w:w="120"/>
              <w:bottom w:type="dxa" w:w="60"/>
              <w:right w:type="dxa" w:w="120"/>
            </w:tcMar>
          </w:tcPr>
          <w:p>
            <w:pPr>
              <w:jc w:val="center"/>
            </w:pPr>
            <w:r>
              <w:rPr>
                <w:b/>
                <w:bCs/>
                <w:color w:val="FFFFFF"/>
                <w:sz w:val="18"/>
                <w:szCs w:val="18"/>
              </w:rPr>
              <w:t xml:space="preserve">HIGH</w:t>
            </w:r>
          </w:p>
        </w:tc>
      </w:tr>
    </w:tbl>
    <w:p>
      <w:pPr>
        <w:spacing w:after="60"/>
      </w:pPr>
      <w:r>
        <w:rPr>
          <w:b/>
          <w:bCs/>
          <w:color w:val="0D1B2E"/>
          <w:sz w:val="20"/>
          <w:szCs w:val="20"/>
        </w:rPr>
        <w:t xml:space="preserve">Files:  </w:t>
      </w:r>
      <w:r>
        <w:rPr>
          <w:sz w:val="20"/>
          <w:szCs w:val="20"/>
        </w:rPr>
        <w:t xml:space="preserve">admin.html line ~9730 (_ALL_COUNSELORS), assets/shared.js line ~8254 (routing fallback), api/crm/fb-webhook.js line ~30 (live Facebook lead webhook)</w:t>
      </w:r>
    </w:p>
    <w:p>
      <w:pPr>
        <w:spacing w:after="60"/>
      </w:pPr>
      <w:r>
        <w:rPr>
          <w:b/>
          <w:bCs/>
          <w:color w:val="0D1B2E"/>
          <w:sz w:val="20"/>
          <w:szCs w:val="20"/>
        </w:rPr>
        <w:t xml:space="preserve">What's there:  </w:t>
      </w:r>
      <w:r>
        <w:rPr>
          <w:sz w:val="20"/>
          <w:szCs w:val="20"/>
        </w:rPr>
        <w:t xml:space="preserve">The counsellor's name is registered everywhere that matters — Supabase seed data, revenue-target SQL, the board portal, hr.html, counselor.html, igi-ceo-portal.html — as “Arpita” (one t). Three separate fallback routing maps spell it “Arpitta” (two t's): the admin CRM routing-rule dropdown, the client-side routing fallback, and — most importantly — the live server-side Facebook lead-webhook fallback that assigns incoming Kolkata leads.</w:t>
      </w:r>
    </w:p>
    <w:p>
      <w:pPr>
        <w:spacing w:after="60"/>
      </w:pPr>
      <w:r>
        <w:rPr>
          <w:b/>
          <w:bCs/>
          <w:color w:val="0D1B2E"/>
          <w:sz w:val="20"/>
          <w:szCs w:val="20"/>
        </w:rPr>
        <w:t xml:space="preserve">Why it matters:  </w:t>
      </w:r>
      <w:r>
        <w:rPr>
          <w:sz w:val="20"/>
          <w:szCs w:val="20"/>
        </w:rPr>
        <w:t xml:space="preserve">Any lead assigned through one of these three fallback paths is stamped assignedTo: "Arpitta" — a name that matches no real login. It will not appear in her queue. This can look exactly like “leads going missing” or Kolkata “underperforming,” when in fact the leads were never routed to a real account. This is a live path (the Facebook webhook), not a rarely-used fallback.</w:t>
      </w:r>
    </w:p>
    <w:p>
      <w:pPr>
        <w:spacing w:after="60"/>
      </w:pPr>
      <w:r>
        <w:rPr>
          <w:b/>
          <w:bCs/>
          <w:color w:val="0D1B2E"/>
          <w:sz w:val="20"/>
          <w:szCs w:val="20"/>
        </w:rPr>
        <w:t xml:space="preserve">Recommendation:  </w:t>
      </w:r>
      <w:r>
        <w:rPr>
          <w:sz w:val="20"/>
          <w:szCs w:val="20"/>
        </w:rPr>
        <w:t xml:space="preserve">Correct the spelling in all three places, and confirm how many historical leads in crm_leads already carry the misspelled name so they can be manually reassigned.</w:t>
      </w:r>
    </w:p>
    <w:p>
      <w:pPr>
        <w:spacing w:after="60" w:before="320"/>
      </w:pPr>
      <w:r>
        <w:rPr>
          <w:b/>
          <w:bCs/>
          <w:color w:val="0D1B2E"/>
          <w:sz w:val="24"/>
          <w:szCs w:val="24"/>
        </w:rPr>
        <w:t xml:space="preserve">Finding 4 — </w:t>
      </w:r>
      <w:r>
        <w:rPr>
          <w:b/>
          <w:bCs/>
          <w:color w:val="0D1B2E"/>
          <w:sz w:val="24"/>
          <w:szCs w:val="24"/>
        </w:rPr>
        <w:t xml:space="preserve">CEO dashboard can silently show fabricated numbers</w:t>
      </w:r>
    </w:p>
    <w:tbl>
      <w:tblPr>
        <w:tblW w:type="dxa" w:w="1700"/>
        <w:tblBorders>
          <w:top w:val="none"/>
          <w:left w:val="none"/>
          <w:bottom w:val="none"/>
          <w:right w:val="none"/>
          <w:insideH w:val="none"/>
          <w:insideV w:val="none"/>
        </w:tblBorders>
      </w:tblPr>
      <w:tblGrid>
        <w:gridCol w:w="100"/>
      </w:tblGrid>
      <w:tr>
        <w:tc>
          <w:tcPr>
            <w:tcW w:type="dxa" w:w="1700"/>
            <w:shd w:fill="B7791F" w:val="clear"/>
            <w:tcMar>
              <w:top w:type="dxa" w:w="60"/>
              <w:left w:type="dxa" w:w="120"/>
              <w:bottom w:type="dxa" w:w="60"/>
              <w:right w:type="dxa" w:w="120"/>
            </w:tcMar>
          </w:tcPr>
          <w:p>
            <w:pPr>
              <w:jc w:val="center"/>
            </w:pPr>
            <w:r>
              <w:rPr>
                <w:b/>
                <w:bCs/>
                <w:color w:val="FFFFFF"/>
                <w:sz w:val="18"/>
                <w:szCs w:val="18"/>
              </w:rPr>
              <w:t xml:space="preserve">HIGH</w:t>
            </w:r>
          </w:p>
        </w:tc>
      </w:tr>
    </w:tbl>
    <w:p>
      <w:pPr>
        <w:spacing w:after="60"/>
      </w:pPr>
      <w:r>
        <w:rPr>
          <w:b/>
          <w:bCs/>
          <w:color w:val="0D1B2E"/>
          <w:sz w:val="20"/>
          <w:szCs w:val="20"/>
        </w:rPr>
        <w:t xml:space="preserve">Files:  </w:t>
      </w:r>
      <w:r>
        <w:rPr>
          <w:sz w:val="20"/>
          <w:szCs w:val="20"/>
        </w:rPr>
        <w:t xml:space="preserve">igi-ceo-portal.html — HOD_DATA (line ~1115), SPARKS (line ~1128), CENTRES (line ~1089), FACULTY (line ~748), BATCHES (line ~735), CRM_FUNNEL (line ~1143)</w:t>
      </w:r>
    </w:p>
    <w:p>
      <w:pPr>
        <w:spacing w:after="60"/>
      </w:pPr>
      <w:r>
        <w:rPr>
          <w:b/>
          <w:bCs/>
          <w:color w:val="0D1B2E"/>
          <w:sz w:val="20"/>
          <w:szCs w:val="20"/>
        </w:rPr>
        <w:t xml:space="preserve">What's there:  </w:t>
      </w:r>
      <w:r>
        <w:rPr>
          <w:sz w:val="20"/>
          <w:szCs w:val="20"/>
        </w:rPr>
        <w:t xml:space="preserve">Each of these six widgets is initialized with realistic-looking sample values (e.g. specific instructor names with “Approved/Pending” statuses and dates, or centre-level BP/achieved figures) and is only overwritten if its corresponding live query returns a non-empty result, e.g. if (hod &amp;&amp; hod.length) {...}. If a query is slow, errors, or a table is genuinely empty for a given period, the widget keeps displaying the placeholder numbers indefinitely — with nothing on screen to say it isn't live. Note: this exact failure mode already caused one confirmed bug on this same screen — the KPI tiles previously stayed frozen on hardcoded HTML defaults instead of syncing to the live gauge, per the code's own fix comment — the identical risk remains open on the six widgets listed here.</w:t>
      </w:r>
    </w:p>
    <w:p>
      <w:pPr>
        <w:spacing w:after="60"/>
      </w:pPr>
      <w:r>
        <w:rPr>
          <w:b/>
          <w:bCs/>
          <w:color w:val="0D1B2E"/>
          <w:sz w:val="20"/>
          <w:szCs w:val="20"/>
        </w:rPr>
        <w:t xml:space="preserve">Why it matters:  </w:t>
      </w:r>
      <w:r>
        <w:rPr>
          <w:sz w:val="20"/>
          <w:szCs w:val="20"/>
        </w:rPr>
        <w:t xml:space="preserve">This is the screen top management actually looks at. A fabricated “Approved” status next to a real instructor's name, sitting next to genuinely live KPI tiles, is very hard to tell apart from a real approval at a glance.</w:t>
      </w:r>
    </w:p>
    <w:p>
      <w:pPr>
        <w:spacing w:after="60"/>
      </w:pPr>
      <w:r>
        <w:rPr>
          <w:b/>
          <w:bCs/>
          <w:color w:val="0D1B2E"/>
          <w:sz w:val="20"/>
          <w:szCs w:val="20"/>
        </w:rPr>
        <w:t xml:space="preserve">Recommendation:  </w:t>
      </w:r>
      <w:r>
        <w:rPr>
          <w:sz w:val="20"/>
          <w:szCs w:val="20"/>
        </w:rPr>
        <w:t xml:space="preserve">Replace the placeholder-number pattern with an explicit “no data for this period” state per widget, and extend the “● Live” badge already used on the top KPI banner to every widget on the page.</w:t>
      </w:r>
    </w:p>
    <w:p>
      <w:pPr>
        <w:spacing w:after="60" w:before="320"/>
      </w:pPr>
      <w:r>
        <w:rPr>
          <w:b/>
          <w:bCs/>
          <w:color w:val="0D1B2E"/>
          <w:sz w:val="24"/>
          <w:szCs w:val="24"/>
        </w:rPr>
        <w:t xml:space="preserve">Finding 5 — </w:t>
      </w:r>
      <w:r>
        <w:rPr>
          <w:b/>
          <w:bCs/>
          <w:color w:val="0D1B2E"/>
          <w:sz w:val="24"/>
          <w:szCs w:val="24"/>
        </w:rPr>
        <w:t xml:space="preserve">City Performance table is capped to a fixed 10-city list</w:t>
      </w:r>
    </w:p>
    <w:tbl>
      <w:tblPr>
        <w:tblW w:type="dxa" w:w="1700"/>
        <w:tblBorders>
          <w:top w:val="none"/>
          <w:left w:val="none"/>
          <w:bottom w:val="none"/>
          <w:right w:val="none"/>
          <w:insideH w:val="none"/>
          <w:insideV w:val="none"/>
        </w:tblBorders>
      </w:tblPr>
      <w:tblGrid>
        <w:gridCol w:w="100"/>
      </w:tblGrid>
      <w:tr>
        <w:tc>
          <w:tcPr>
            <w:tcW w:type="dxa" w:w="1700"/>
            <w:shd w:fill="B7791F" w:val="clear"/>
            <w:tcMar>
              <w:top w:type="dxa" w:w="60"/>
              <w:left w:type="dxa" w:w="120"/>
              <w:bottom w:type="dxa" w:w="60"/>
              <w:right w:type="dxa" w:w="120"/>
            </w:tcMar>
          </w:tcPr>
          <w:p>
            <w:pPr>
              <w:jc w:val="center"/>
            </w:pPr>
            <w:r>
              <w:rPr>
                <w:b/>
                <w:bCs/>
                <w:color w:val="FFFFFF"/>
                <w:sz w:val="18"/>
                <w:szCs w:val="18"/>
              </w:rPr>
              <w:t xml:space="preserve">HIGH</w:t>
            </w:r>
          </w:p>
        </w:tc>
      </w:tr>
    </w:tbl>
    <w:p>
      <w:pPr>
        <w:spacing w:after="60"/>
      </w:pPr>
      <w:r>
        <w:rPr>
          <w:b/>
          <w:bCs/>
          <w:color w:val="0D1B2E"/>
          <w:sz w:val="20"/>
          <w:szCs w:val="20"/>
        </w:rPr>
        <w:t xml:space="preserve">Files:  </w:t>
      </w:r>
      <w:r>
        <w:rPr>
          <w:sz w:val="20"/>
          <w:szCs w:val="20"/>
        </w:rPr>
        <w:t xml:space="preserve">admin.html — HIST_CITIES (line ~6737), dynamicCities builder (line ~6962)</w:t>
      </w:r>
    </w:p>
    <w:p>
      <w:pPr>
        <w:spacing w:after="60"/>
      </w:pPr>
      <w:r>
        <w:rPr>
          <w:b/>
          <w:bCs/>
          <w:color w:val="0D1B2E"/>
          <w:sz w:val="20"/>
          <w:szCs w:val="20"/>
        </w:rPr>
        <w:t xml:space="preserve">What's there:  </w:t>
      </w:r>
      <w:r>
        <w:rPr>
          <w:sz w:val="20"/>
          <w:szCs w:val="20"/>
        </w:rPr>
        <w:t xml:space="preserve">The City Performance table only ever renders the ten centres named in a hardcoded HIST_CITIES array. For each, target/actual start at 0 and are only populated if a live centre row is found matching that name (case-insensitive). A newly opened or renamed centre not on this list is invisible on the table regardless of how much revenue it's generating; a name that fails to match a live row silently shows ₹0 / 0%, indistinguishable from a centre that genuinely did no business.</w:t>
      </w:r>
    </w:p>
    <w:p>
      <w:pPr>
        <w:spacing w:after="60"/>
      </w:pPr>
      <w:r>
        <w:rPr>
          <w:b/>
          <w:bCs/>
          <w:color w:val="0D1B2E"/>
          <w:sz w:val="20"/>
          <w:szCs w:val="20"/>
        </w:rPr>
        <w:t xml:space="preserve">Why it matters:  </w:t>
      </w:r>
      <w:r>
        <w:rPr>
          <w:sz w:val="20"/>
          <w:szCs w:val="20"/>
        </w:rPr>
        <w:t xml:space="preserve">This is the same class of defect the code's own comments say already caused a previous, confirmed revenue-misattribution bug elsewhere on this page (fixed by keying each transaction off its own recorded businessCentre instead of a fixed per-counsellor mapping) — the same anti-pattern is still live here, one table over.</w:t>
      </w:r>
    </w:p>
    <w:p>
      <w:pPr>
        <w:spacing w:after="60"/>
      </w:pPr>
      <w:r>
        <w:rPr>
          <w:b/>
          <w:bCs/>
          <w:color w:val="0D1B2E"/>
          <w:sz w:val="20"/>
          <w:szCs w:val="20"/>
        </w:rPr>
        <w:t xml:space="preserve">Recommendation:  </w:t>
      </w:r>
      <w:r>
        <w:rPr>
          <w:sz w:val="20"/>
          <w:szCs w:val="20"/>
        </w:rPr>
        <w:t xml:space="preserve">Derive the city list from the live centre roster, not a fixed array, and show an explicit “no data” state distinct from a real ₹0 target.</w:t>
      </w:r>
    </w:p>
    <w:p>
      <w:pPr>
        <w:spacing w:after="60" w:before="320"/>
      </w:pPr>
      <w:r>
        <w:rPr>
          <w:b/>
          <w:bCs/>
          <w:color w:val="0D1B2E"/>
          <w:sz w:val="24"/>
          <w:szCs w:val="24"/>
        </w:rPr>
        <w:t xml:space="preserve">Finding 6 — </w:t>
      </w:r>
      <w:r>
        <w:rPr>
          <w:b/>
          <w:bCs/>
          <w:color w:val="0D1B2E"/>
          <w:sz w:val="24"/>
          <w:szCs w:val="24"/>
        </w:rPr>
        <w:t xml:space="preserve">GST conversion is hand-rolled per file instead of one shared helper</w:t>
      </w:r>
    </w:p>
    <w:tbl>
      <w:tblPr>
        <w:tblW w:type="dxa" w:w="1700"/>
        <w:tblBorders>
          <w:top w:val="none"/>
          <w:left w:val="none"/>
          <w:bottom w:val="none"/>
          <w:right w:val="none"/>
          <w:insideH w:val="none"/>
          <w:insideV w:val="none"/>
        </w:tblBorders>
      </w:tblPr>
      <w:tblGrid>
        <w:gridCol w:w="100"/>
      </w:tblGrid>
      <w:tr>
        <w:tc>
          <w:tcPr>
            <w:tcW w:type="dxa" w:w="1700"/>
            <w:shd w:fill="946200" w:val="clear"/>
            <w:tcMar>
              <w:top w:type="dxa" w:w="60"/>
              <w:left w:type="dxa" w:w="120"/>
              <w:bottom w:type="dxa" w:w="60"/>
              <w:right w:type="dxa" w:w="120"/>
            </w:tcMar>
          </w:tcPr>
          <w:p>
            <w:pPr>
              <w:jc w:val="center"/>
            </w:pPr>
            <w:r>
              <w:rPr>
                <w:b/>
                <w:bCs/>
                <w:color w:val="FFFFFF"/>
                <w:sz w:val="18"/>
                <w:szCs w:val="18"/>
              </w:rPr>
              <w:t xml:space="preserve">MEDIUM</w:t>
            </w:r>
          </w:p>
        </w:tc>
      </w:tr>
    </w:tbl>
    <w:p>
      <w:pPr>
        <w:spacing w:after="60"/>
      </w:pPr>
      <w:r>
        <w:rPr>
          <w:b/>
          <w:bCs/>
          <w:color w:val="0D1B2E"/>
          <w:sz w:val="20"/>
          <w:szCs w:val="20"/>
        </w:rPr>
        <w:t xml:space="preserve">Files:  </w:t>
      </w:r>
      <w:r>
        <w:rPr>
          <w:sz w:val="20"/>
          <w:szCs w:val="20"/>
        </w:rPr>
        <w:t xml:space="preserve">admin.html, counselor.html, assets/shared.js (all use the literal 1.18 correctly); hr.html (omits it — see Finding 2)</w:t>
      </w:r>
    </w:p>
    <w:p>
      <w:pPr>
        <w:spacing w:after="60"/>
      </w:pPr>
      <w:r>
        <w:rPr>
          <w:b/>
          <w:bCs/>
          <w:color w:val="0D1B2E"/>
          <w:sz w:val="20"/>
          <w:szCs w:val="20"/>
        </w:rPr>
        <w:t xml:space="preserve">What's there:  </w:t>
      </w:r>
      <w:r>
        <w:rPr>
          <w:sz w:val="20"/>
          <w:szCs w:val="20"/>
        </w:rPr>
        <w:t xml:space="preserve">18% GST is applied consistently as a literal ×1.18 / ÷1.18 in most places, but there is no single exported “toward excl./incl. GST” function — each file re-implements the arithmetic by hand. Finding 2 is the direct, real-world consequence: it is trivially easy for a new file to simply forget the conversion, and one did.</w:t>
      </w:r>
    </w:p>
    <w:p>
      <w:pPr>
        <w:spacing w:after="60"/>
      </w:pPr>
      <w:r>
        <w:rPr>
          <w:b/>
          <w:bCs/>
          <w:color w:val="0D1B2E"/>
          <w:sz w:val="20"/>
          <w:szCs w:val="20"/>
        </w:rPr>
        <w:t xml:space="preserve">Recommendation:  </w:t>
      </w:r>
      <w:r>
        <w:rPr>
          <w:sz w:val="20"/>
          <w:szCs w:val="20"/>
        </w:rPr>
        <w:t xml:space="preserve">Add one exported helper (e.g. exclGst(v), inclGst(v)) to assets/shared.js and require every portal to use it rather than a bare 1.18 literal.</w:t>
      </w:r>
    </w:p>
    <w:p>
      <w:pPr>
        <w:spacing w:after="60" w:before="320"/>
      </w:pPr>
      <w:r>
        <w:rPr>
          <w:b/>
          <w:bCs/>
          <w:color w:val="0D1B2E"/>
          <w:sz w:val="24"/>
          <w:szCs w:val="24"/>
        </w:rPr>
        <w:t xml:space="preserve">Finding 7 — </w:t>
      </w:r>
      <w:r>
        <w:rPr>
          <w:b/>
          <w:bCs/>
          <w:color w:val="0D1B2E"/>
          <w:sz w:val="24"/>
          <w:szCs w:val="24"/>
        </w:rPr>
        <w:t xml:space="preserve">Dead no-op function wired to a hidden button</w:t>
      </w:r>
    </w:p>
    <w:tbl>
      <w:tblPr>
        <w:tblW w:type="dxa" w:w="1700"/>
        <w:tblBorders>
          <w:top w:val="none"/>
          <w:left w:val="none"/>
          <w:bottom w:val="none"/>
          <w:right w:val="none"/>
          <w:insideH w:val="none"/>
          <w:insideV w:val="none"/>
        </w:tblBorders>
      </w:tblPr>
      <w:tblGrid>
        <w:gridCol w:w="100"/>
      </w:tblGrid>
      <w:tr>
        <w:tc>
          <w:tcPr>
            <w:tcW w:type="dxa" w:w="1700"/>
            <w:shd w:fill="946200" w:val="clear"/>
            <w:tcMar>
              <w:top w:type="dxa" w:w="60"/>
              <w:left w:type="dxa" w:w="120"/>
              <w:bottom w:type="dxa" w:w="60"/>
              <w:right w:type="dxa" w:w="120"/>
            </w:tcMar>
          </w:tcPr>
          <w:p>
            <w:pPr>
              <w:jc w:val="center"/>
            </w:pPr>
            <w:r>
              <w:rPr>
                <w:b/>
                <w:bCs/>
                <w:color w:val="FFFFFF"/>
                <w:sz w:val="18"/>
                <w:szCs w:val="18"/>
              </w:rPr>
              <w:t xml:space="preserve">MEDIUM</w:t>
            </w:r>
          </w:p>
        </w:tc>
      </w:tr>
    </w:tbl>
    <w:p>
      <w:pPr>
        <w:spacing w:after="60"/>
      </w:pPr>
      <w:r>
        <w:rPr>
          <w:b/>
          <w:bCs/>
          <w:color w:val="0D1B2E"/>
          <w:sz w:val="20"/>
          <w:szCs w:val="20"/>
        </w:rPr>
        <w:t xml:space="preserve">Files:  </w:t>
      </w:r>
      <w:r>
        <w:rPr>
          <w:sz w:val="20"/>
          <w:szCs w:val="20"/>
        </w:rPr>
        <w:t xml:space="preserve">counselor.html, line ~10620 (function saveRevenueMonthly(){}), line ~3840 (hidden trigger button)</w:t>
      </w:r>
    </w:p>
    <w:p>
      <w:pPr>
        <w:spacing w:after="60"/>
      </w:pPr>
      <w:r>
        <w:rPr>
          <w:b/>
          <w:bCs/>
          <w:color w:val="0D1B2E"/>
          <w:sz w:val="20"/>
          <w:szCs w:val="20"/>
        </w:rPr>
        <w:t xml:space="preserve">What's there:  </w:t>
      </w:r>
      <w:r>
        <w:rPr>
          <w:sz w:val="20"/>
          <w:szCs w:val="20"/>
        </w:rPr>
        <w:t xml:space="preserve">A “legacy compat stub” function that does nothing is still wired to a button in the DOM. The button is display:none, so it is not currently reachable through the UI — no active user impact today.</w:t>
      </w:r>
    </w:p>
    <w:p>
      <w:pPr>
        <w:spacing w:after="60"/>
      </w:pPr>
      <w:r>
        <w:rPr>
          <w:b/>
          <w:bCs/>
          <w:color w:val="0D1B2E"/>
          <w:sz w:val="20"/>
          <w:szCs w:val="20"/>
        </w:rPr>
        <w:t xml:space="preserve">Recommendation:  </w:t>
      </w:r>
      <w:r>
        <w:rPr>
          <w:sz w:val="20"/>
          <w:szCs w:val="20"/>
        </w:rPr>
        <w:t xml:space="preserve">Low urgency. Remove the dead button and function together during general cleanup, so a future change never accidentally re-exposes a save action that silently does nothing.</w:t>
      </w:r>
    </w:p>
    <w:p>
      <w:pPr>
        <w:spacing w:after="60" w:before="320"/>
      </w:pPr>
      <w:r>
        <w:rPr>
          <w:b/>
          <w:bCs/>
          <w:color w:val="0D1B2E"/>
          <w:sz w:val="24"/>
          <w:szCs w:val="24"/>
        </w:rPr>
        <w:t xml:space="preserve">Finding 8 — </w:t>
      </w:r>
      <w:r>
        <w:rPr>
          <w:b/>
          <w:bCs/>
          <w:color w:val="0D1B2E"/>
          <w:sz w:val="24"/>
          <w:szCs w:val="24"/>
        </w:rPr>
        <w:t xml:space="preserve">Good-practice example worth replicating</w:t>
      </w:r>
    </w:p>
    <w:tbl>
      <w:tblPr>
        <w:tblW w:type="dxa" w:w="1700"/>
        <w:tblBorders>
          <w:top w:val="none"/>
          <w:left w:val="none"/>
          <w:bottom w:val="none"/>
          <w:right w:val="none"/>
          <w:insideH w:val="none"/>
          <w:insideV w:val="none"/>
        </w:tblBorders>
      </w:tblPr>
      <w:tblGrid>
        <w:gridCol w:w="100"/>
      </w:tblGrid>
      <w:tr>
        <w:tc>
          <w:tcPr>
            <w:tcW w:type="dxa" w:w="1700"/>
            <w:shd w:fill="3E7A4A" w:val="clear"/>
            <w:tcMar>
              <w:top w:type="dxa" w:w="60"/>
              <w:left w:type="dxa" w:w="120"/>
              <w:bottom w:type="dxa" w:w="60"/>
              <w:right w:type="dxa" w:w="120"/>
            </w:tcMar>
          </w:tcPr>
          <w:p>
            <w:pPr>
              <w:jc w:val="center"/>
            </w:pPr>
            <w:r>
              <w:rPr>
                <w:b/>
                <w:bCs/>
                <w:color w:val="FFFFFF"/>
                <w:sz w:val="18"/>
                <w:szCs w:val="18"/>
              </w:rPr>
              <w:t xml:space="preserve">LOW / POSITIVE</w:t>
            </w:r>
          </w:p>
        </w:tc>
      </w:tr>
    </w:tbl>
    <w:p>
      <w:pPr>
        <w:spacing w:after="60"/>
      </w:pPr>
      <w:r>
        <w:rPr>
          <w:b/>
          <w:bCs/>
          <w:color w:val="0D1B2E"/>
          <w:sz w:val="20"/>
          <w:szCs w:val="20"/>
        </w:rPr>
        <w:t xml:space="preserve">Files:  </w:t>
      </w:r>
      <w:r>
        <w:rPr>
          <w:sz w:val="20"/>
          <w:szCs w:val="20"/>
        </w:rPr>
        <w:t xml:space="preserve">instructor-portal.html, Diamond Calculator tab (line ~812)</w:t>
      </w:r>
    </w:p>
    <w:p>
      <w:pPr>
        <w:spacing w:after="60"/>
      </w:pPr>
      <w:r>
        <w:rPr>
          <w:b/>
          <w:bCs/>
          <w:color w:val="0D1B2E"/>
          <w:sz w:val="20"/>
          <w:szCs w:val="20"/>
        </w:rPr>
        <w:t xml:space="preserve">What's there:  </w:t>
      </w:r>
      <w:r>
        <w:rPr>
          <w:sz w:val="20"/>
          <w:szCs w:val="20"/>
        </w:rPr>
        <w:t xml:space="preserve">This tab explicitly comments and discloses to the instructor that its weight-estimate formulas are “standard published gemological rule-of-thumb approximations,” not stored or looked-up data.</w:t>
      </w:r>
    </w:p>
    <w:p>
      <w:pPr>
        <w:spacing w:after="60"/>
      </w:pPr>
      <w:r>
        <w:rPr>
          <w:b/>
          <w:bCs/>
          <w:color w:val="0D1B2E"/>
          <w:sz w:val="20"/>
          <w:szCs w:val="20"/>
        </w:rPr>
        <w:t xml:space="preserve">Why it's included:  </w:t>
      </w:r>
      <w:r>
        <w:rPr>
          <w:sz w:val="20"/>
          <w:szCs w:val="20"/>
        </w:rPr>
        <w:t xml:space="preserve">It's the one place in the codebase that proactively tells the viewer “this number is an estimate, here's why.” Findings 2–5 are, in effect, the same disclosure missing elsewhere — worth using this as the house style to copy.</w:t>
      </w:r>
    </w:p>
    <w:p>
      <w:pPr>
        <w:pageBreakBefore/>
      </w:pPr>
      <w:r>
        <w:t xml:space="preserve"/>
      </w:r>
    </w:p>
    <w:p>
      <w:pPr>
        <w:pStyle w:val="Heading1"/>
        <w:spacing w:after="160" w:before="360"/>
      </w:pPr>
      <w:r>
        <w:t xml:space="preserve">3. Root Cause: Why the Numbers Drift Apart</w:t>
      </w:r>
    </w:p>
    <w:p>
      <w:pPr>
        <w:spacing w:after="140" w:line="276"/>
      </w:pPr>
      <w:r>
        <w:t xml:space="preserve">Every High-severity finding above traces back to the same pattern: a number that should have one source of truth is instead pasted as a literal, hardcoded value into two or three files independently. Nothing forces those copies to be updated together, so:</w:t>
      </w:r>
    </w:p>
    <w:p>
      <w:pPr>
        <w:pStyle w:val="ListParagraph"/>
        <w:numPr>
          <w:ilvl w:val="0"/>
          <w:numId w:val="2"/>
        </w:numPr>
        <w:spacing w:after="80"/>
      </w:pPr>
      <w:r>
        <w:t xml:space="preserve">A fix applied to one copy (as we did to admin.html this week) leaves the others exactly as broken as before.</w:t>
      </w:r>
    </w:p>
    <w:p>
      <w:pPr>
        <w:pStyle w:val="ListParagraph"/>
        <w:numPr>
          <w:ilvl w:val="0"/>
          <w:numId w:val="2"/>
        </w:numPr>
        <w:spacing w:after="80"/>
      </w:pPr>
      <w:r>
        <w:t xml:space="preserve">A hand-typed name (“Arpitta”) can drift from the real database spelling with no error, because nothing validates it against the users table.</w:t>
      </w:r>
    </w:p>
    <w:p>
      <w:pPr>
        <w:pStyle w:val="ListParagraph"/>
        <w:numPr>
          <w:ilvl w:val="0"/>
          <w:numId w:val="2"/>
        </w:numPr>
        <w:spacing w:after="80"/>
      </w:pPr>
      <w:r>
        <w:t xml:space="preserve">A manual constant (÷1.18) can simply be forgotten in a new file, because there's no shared function whose absence would be obvious in review.</w:t>
      </w:r>
    </w:p>
    <w:p>
      <w:pPr>
        <w:pStyle w:val="ListParagraph"/>
        <w:numPr>
          <w:ilvl w:val="0"/>
          <w:numId w:val="2"/>
        </w:numPr>
        <w:spacing w:after="80"/>
      </w:pPr>
      <w:r>
        <w:t xml:space="preserve">A fixed list (10 cities) quietly stops being complete the day an 11th centre opens, with no error — just silence.</w:t>
      </w:r>
    </w:p>
    <w:p>
      <w:pPr>
        <w:spacing w:after="140" w:line="276"/>
      </w:pPr>
      <w:r>
        <w:t xml:space="preserve">The fix for all four is architectural, not cosmetic: replace pasted copies with one shared source (a live query, or at minimum one shared constants/helpers file that every portal imports), so a correction made once is a correction made everywhere.</w:t>
      </w:r>
    </w:p>
    <w:p>
      <w:pPr>
        <w:pStyle w:val="Heading1"/>
        <w:spacing w:after="160" w:before="360"/>
      </w:pPr>
      <w:r>
        <w:t xml:space="preserve">4. Recommended Fix Order</w:t>
      </w:r>
    </w:p>
    <w:p>
      <w:pPr>
        <w:pStyle w:val="ListParagraph"/>
        <w:numPr>
          <w:ilvl w:val="0"/>
          <w:numId w:val="2"/>
        </w:numPr>
        <w:spacing w:after="80"/>
      </w:pPr>
      <w:r>
        <w:t xml:space="preserve">1.  Close the master-password bypass (Finding 1) — do this before relying on any other number in the system, since it affects the trustworthiness of every entry's attribution.</w:t>
      </w:r>
    </w:p>
    <w:p>
      <w:pPr>
        <w:pStyle w:val="ListParagraph"/>
        <w:numPr>
          <w:ilvl w:val="0"/>
          <w:numId w:val="2"/>
        </w:numPr>
        <w:spacing w:after="80"/>
      </w:pPr>
      <w:r>
        <w:t xml:space="preserve">2.  Correct the three “Arpitta” fallback maps (Finding 3) — small, contained change, directly affects live lead revenue today.</w:t>
      </w:r>
    </w:p>
    <w:p>
      <w:pPr>
        <w:pStyle w:val="ListParagraph"/>
        <w:numPr>
          <w:ilvl w:val="0"/>
          <w:numId w:val="2"/>
        </w:numPr>
        <w:spacing w:after="80"/>
      </w:pPr>
      <w:r>
        <w:t xml:space="preserve">3.  Consolidate the three revenue-history datasets into one source and fix hr.html's missing GST conversion (Findings 2 and 6) — this is the fix that prevents this exact class of complaint from recurring.</w:t>
      </w:r>
    </w:p>
    <w:p>
      <w:pPr>
        <w:pStyle w:val="ListParagraph"/>
        <w:numPr>
          <w:ilvl w:val="0"/>
          <w:numId w:val="2"/>
        </w:numPr>
        <w:spacing w:after="80"/>
      </w:pPr>
      <w:r>
        <w:t xml:space="preserve">4.  Replace CEO-dashboard placeholder fallbacks with an explicit “no data” state (Finding 4).</w:t>
      </w:r>
    </w:p>
    <w:p>
      <w:pPr>
        <w:pStyle w:val="ListParagraph"/>
        <w:numPr>
          <w:ilvl w:val="0"/>
          <w:numId w:val="2"/>
        </w:numPr>
        <w:spacing w:after="80"/>
      </w:pPr>
      <w:r>
        <w:t xml:space="preserve">5.  Make the City Performance centre list live instead of fixed (Finding 5).</w:t>
      </w:r>
    </w:p>
    <w:p>
      <w:pPr>
        <w:pStyle w:val="ListParagraph"/>
        <w:numPr>
          <w:ilvl w:val="0"/>
          <w:numId w:val="2"/>
        </w:numPr>
        <w:spacing w:after="80"/>
      </w:pPr>
      <w:r>
        <w:t xml:space="preserve">6.  Housekeeping: remove the dead saveRevenueMonthly stub (Finding 7).</w:t>
      </w:r>
    </w:p>
    <w:p>
      <w:pPr>
        <w:spacing w:after="140" w:line="276"/>
      </w:pPr>
      <w:r>
        <w:rPr>
          <w:i/>
          <w:iCs/>
          <w:color w:val="6B7280"/>
          <w:sz w:val="19"/>
          <w:szCs w:val="19"/>
        </w:rPr>
        <w:t xml:space="preserve">Nothing above has been implemented. Per your instruction, this document is findings and recommendations only — let me know which items you'd like built, and in what order.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60" w:before="320"/>
    </w:pPr>
    <w:rPr>
      <w:rFonts w:ascii="Calibri" w:cs="Calibri" w:eastAsia="Calibri" w:hAnsi="Calibri"/>
      <w:b/>
      <w:bCs/>
      <w:color w:val="0D1B2E"/>
      <w:sz w:val="30"/>
      <w:szCs w:val="30"/>
    </w:rPr>
  </w:style>
  <w:style w:type="paragraph" w:styleId="Heading2">
    <w:name w:val="Heading 2"/>
    <w:basedOn w:val="Normal"/>
    <w:next w:val="Normal"/>
    <w:qFormat/>
    <w:pPr>
      <w:spacing w:after="120" w:before="260"/>
    </w:pPr>
    <w:rPr>
      <w:rFonts w:ascii="Calibri" w:cs="Calibri" w:eastAsia="Calibri" w:hAnsi="Calibri"/>
      <w:b/>
      <w:bCs/>
      <w:color w:val="0D1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2026-07-18T13:47:44.694Z</dcterms:created>
  <dcterms:modified xsi:type="dcterms:W3CDTF">2026-07-18T13:47:44.694Z</dcterms:modified>
</cp:coreProperties>
</file>

<file path=docProps/custom.xml><?xml version="1.0" encoding="utf-8"?>
<Properties xmlns="http://schemas.openxmlformats.org/officeDocument/2006/custom-properties" xmlns:vt="http://schemas.openxmlformats.org/officeDocument/2006/docPropsVTypes"/>
</file>