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IGI SCHOOL OF GEMOLOGY INDIA</w:t>
      </w:r>
    </w:p>
    <w:p>
      <w:pPr>
        <w:pStyle w:val="Subtitle"/>
      </w:pPr>
      <w:r>
        <w:t xml:space="preserve">The Counsellor Field Guide</w:t>
      </w:r>
    </w:p>
    <w:p>
      <w:pPr>
        <w:pStyle w:val="Subtitle"/>
      </w:pPr>
      <w:r>
        <w:t xml:space="preserve">Don’t Sell Courses. Build Careers.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</w:rPr>
        <w:t xml:space="preserve">The pocket reference every counsellor keeps open during a live call.</w:t>
      </w:r>
    </w:p>
    <w:p>
      <w:pPr>
        <w:pStyle w:val="BodyText"/>
      </w:pPr>
      <w:r>
        <w:t xml:space="preserve">Companion to the Core Playbook (Volume 1) — carry this, not the full manual.</w:t>
      </w:r>
    </w:p>
    <w:p>
      <w:pPr>
        <w:pStyle w:val="Heading2"/>
      </w:pPr>
      <w:bookmarkStart w:id="20" w:name="how-this-fits-with-the-core-playbook"/>
      <w:r>
        <w:t xml:space="preserve">How This Fits With the Core Playbook</w:t>
      </w:r>
      <w:bookmarkEnd w:id="20"/>
    </w:p>
    <w:p>
      <w:pPr>
        <w:pStyle w:val="FirstParagraph"/>
      </w:pPr>
      <w:r>
        <w:t xml:space="preserve">The 97-page Core Playbook is the source of truth — read once fully during certification, then used for deep dives, dispute resolution, and manager coaching. Nobody keeps a 97-page document open mid-call.</w:t>
      </w:r>
    </w:p>
    <w:p>
      <w:pPr>
        <w:pStyle w:val="BodyText"/>
      </w:pPr>
      <w:r>
        <w:t xml:space="preserve">This Field Guide is the opposite: everything on these pages is designed to be glanced at in seconds while a student is talking. Every item below links back to the full section in the Core Playbook if you need the complete reasoning.</w:t>
      </w:r>
    </w:p>
    <w:p>
      <w:pPr>
        <w:pStyle w:val="BodyText"/>
      </w:pPr>
      <w:r>
        <w:rPr>
          <w:b/>
        </w:rPr>
        <w:t xml:space="preserve">Rule of thumb:</w:t>
      </w:r>
      <w:r>
        <w:t xml:space="preserve"> </w:t>
      </w:r>
      <w:r>
        <w:t xml:space="preserve">if you’re reaching for a document</w:t>
      </w:r>
      <w:r>
        <w:t xml:space="preserve"> </w:t>
      </w:r>
      <w:r>
        <w:rPr>
          <w:i/>
        </w:rPr>
        <w:t xml:space="preserve">during</w:t>
      </w:r>
      <w:r>
        <w:t xml:space="preserve"> </w:t>
      </w:r>
      <w:r>
        <w:t xml:space="preserve">a call, it should be this one.</w:t>
      </w:r>
    </w:p>
    <w:p>
      <w:pPr>
        <w:pStyle w:val="Heading1"/>
      </w:pPr>
      <w:bookmarkStart w:id="21" w:name="the-philosophy-one-page"/>
      <w:r>
        <w:t xml:space="preserve">1. The Philosophy (One Page)</w:t>
      </w:r>
      <w:bookmarkEnd w:id="21"/>
    </w:p>
    <w:p>
      <w:pPr>
        <w:pStyle w:val="Heading3"/>
      </w:pPr>
      <w:bookmarkStart w:id="22" w:name="dont-sell-courses.-build-careers."/>
      <w:r>
        <w:t xml:space="preserve">“</w:t>
      </w:r>
      <w:r>
        <w:t xml:space="preserve">Don’t sell courses. Build careers.</w:t>
      </w:r>
      <w:r>
        <w:t xml:space="preserve">”</w:t>
      </w:r>
      <w:bookmarkEnd w:id="22"/>
    </w:p>
    <w:p>
      <w:pPr>
        <w:pStyle w:val="FirstParagraph"/>
      </w:pPr>
      <w:r>
        <w:rPr>
          <w:b/>
        </w:rPr>
        <w:t xml:space="preserve">If in doubt on a call, ask: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Am I moving this person toward the right decision for their career, or the easiest decision for my target?</w:t>
      </w:r>
      <w:r>
        <w:rPr>
          <w:i/>
        </w:rPr>
        <w:t xml:space="preserve">”</w:t>
      </w:r>
    </w:p>
    <w:tbl>
      <w:tblPr>
        <w:tblStyle w:val="Table"/>
        <w:tblLook w:firstRow="1"/>
        <w:tblW w:w="5000" w:type="pct"/>
        <w:tblLayout w:type="fixed"/>
      </w:tblPr>
      <w:tblGrid/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Never say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Always say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Guaranteed job.</w:t>
            </w:r>
            <w:r>
              <w:t xml:space="preserve">”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Here’s a realistic picture of outcomes.</w:t>
            </w:r>
            <w:r>
              <w:t xml:space="preserve">”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Definitely.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Everyone succeeds.</w:t>
            </w:r>
            <w:r>
              <w:t xml:space="preserve">”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Many graduates go on to…</w:t>
            </w:r>
            <w:r>
              <w:t xml:space="preserve">”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offer ends today.</w:t>
            </w:r>
            <w:r>
              <w:t xml:space="preserve">”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 the time you need.</w:t>
            </w:r>
            <w:r>
              <w:t xml:space="preserve">”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(naming a course in the first minute)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(Discovery questions first, always)</w:t>
            </w:r>
          </w:p>
        </w:tc>
      </w:tr>
    </w:tbl>
    <w:p>
      <w:pPr>
        <w:pStyle w:val="BodyText"/>
      </w:pPr>
      <w:r>
        <w:rPr>
          <w:b/>
        </w:rPr>
        <w:t xml:space="preserve">The 7-Step SOP:</w:t>
      </w:r>
      <w:r>
        <w:t xml:space="preserve"> </w:t>
      </w:r>
      <w:r>
        <w:t xml:space="preserve">Build Rapport → Discover → Diagnose → Educate → Name Trade-offs → Invite Decision → Document &amp; Follow Up</w:t>
      </w:r>
      <w:r>
        <w:t xml:space="preserve"> </w:t>
      </w:r>
      <w:r>
        <w:rPr>
          <w:i/>
        </w:rPr>
        <w:t xml:space="preserve">(Full detail: Core Playbook Section 1.8)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persona-cheat-sheet"/>
      <w:r>
        <w:t xml:space="preserve">2. Persona Cheat Sheet</w:t>
      </w:r>
      <w:bookmarkEnd w:id="23"/>
    </w:p>
    <w:tbl>
      <w:tblPr>
        <w:tblStyle w:val="Table"/>
        <w:tblLook w:firstRow="1"/>
        <w:tblW w:w="5000" w:type="pct"/>
        <w:tblLayout w:type="fixed"/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Core driver</w:t>
            </w:r>
          </w:p>
        </w:tc>
        <w:tc>
          <w:tcPr>
            <w:tcBorders>
              <w:bottom w:val="single"/>
            </w:tcBorders>
            <w:vAlign w:val="bottom"/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 this objection</w:t>
            </w:r>
          </w:p>
        </w:tc>
        <w:tc>
          <w:tcPr>
            <w:tcBorders>
              <w:bottom w:val="single"/>
            </w:tcBorders>
            <w:vAlign w:val="bottom"/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with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Gen Z Explorer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Fear of wrong choice, parental buy-in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parents aren’t sure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pulled you toward gemstones, and does your family know you’re exploring this?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Millennial Professional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Unlived potential, time scarcity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don’t have time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your current work week actually look like?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Career Changer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Hope mixed with self-doubt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 I too old?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making now the right time for this change?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Protective instinct, legitimacy proof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know this is real?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would you need to see to feel confident?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Luxury Aspirant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Aspiration, self-image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Will this get me into a luxury brand?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part of luxury excites you most — stones, brands, or clients?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Independence, control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just need practical skills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decision can’t you make confidently on your own right now?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Working Jeweller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Pride, recognition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already know this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would a formal credential have changed how a buyer treated you?</w:t>
            </w:r>
            <w:r>
              <w:t xml:space="preserve">”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International Student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Global ambition, logistics anxiety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is this recognized back home?</w:t>
            </w:r>
            <w:r>
              <w:t xml:space="preserve">”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do you see yourself using this in five years?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i/>
        </w:rPr>
        <w:t xml:space="preserve">(Full persona detail: Core Playbook Section 2)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course-decision-tree"/>
      <w:r>
        <w:t xml:space="preserve">3. Course Decision Tree</w:t>
      </w:r>
      <w:bookmarkEnd w:id="24"/>
    </w:p>
    <w:p>
      <w:pPr>
        <w:pStyle w:val="SourceCode"/>
      </w:pPr>
      <w:r>
        <w:rPr>
          <w:rStyle w:val="VerbatimChar"/>
        </w:rPr>
        <w:t xml:space="preserve">What is the student's PRIMARY interest?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Grading/identification</w:t>
      </w:r>
      <w:r>
        <w:br/>
      </w:r>
      <w:r>
        <w:rPr>
          <w:rStyle w:val="VerbatimChar"/>
        </w:rPr>
        <w:t xml:space="preserve">  |     |-- Both diamonds AND colored stones, serious   --&gt; Graduate Gemologist</w:t>
      </w:r>
      <w:r>
        <w:br/>
      </w:r>
      <w:r>
        <w:rPr>
          <w:rStyle w:val="VerbatimChar"/>
        </w:rPr>
        <w:t xml:space="preserve">  |     |-- Diamonds only                               --&gt; Diamond Graduate</w:t>
      </w:r>
      <w:r>
        <w:br/>
      </w:r>
      <w:r>
        <w:rPr>
          <w:rStyle w:val="VerbatimChar"/>
        </w:rPr>
        <w:t xml:space="preserve">  |     |-- Colored stones only                         --&gt; Colored Stone Graduate</w:t>
      </w:r>
      <w:r>
        <w:br/>
      </w:r>
      <w:r>
        <w:rPr>
          <w:rStyle w:val="VerbatimChar"/>
        </w:rPr>
        <w:t xml:space="preserve">  |     |-- Just exploring, very low commitment          --&gt; Diamond Essentials</w:t>
      </w:r>
      <w:r>
        <w:br/>
      </w:r>
      <w:r>
        <w:rPr>
          <w:rStyle w:val="VerbatimChar"/>
        </w:rPr>
        <w:t xml:space="preserve">  |     |-- Wants Gem-A/FGA pathway specifically         --&gt; Gem-A Foundation --&gt; Diploma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Design / creative                                  --&gt; JewelPad</w:t>
      </w:r>
      <w:r>
        <w:br/>
      </w:r>
      <w:r>
        <w:rPr>
          <w:rStyle w:val="VerbatimChar"/>
        </w:rPr>
        <w:t xml:space="preserve">  |-- Retail / customer-facing sales career               --&gt; Retail Training Programs</w:t>
      </w:r>
      <w:r>
        <w:br/>
      </w:r>
      <w:r>
        <w:rPr>
          <w:rStyle w:val="VerbatimChar"/>
        </w:rPr>
        <w:t xml:space="preserve">  |-- Organization enquiring for multiple staff            --&gt; Corporate Programs</w:t>
      </w:r>
    </w:p>
    <w:p>
      <w:pPr>
        <w:pStyle w:val="FirstParagraph"/>
      </w:pPr>
      <w:r>
        <w:rPr>
          <w:b/>
        </w:rPr>
        <w:t xml:space="preserve">Never name the course before completing the Six-Dimension Needs Analysis:</w:t>
      </w:r>
      <w:r>
        <w:t xml:space="preserve"> </w:t>
      </w:r>
      <w:r>
        <w:t xml:space="preserve">Career Objective · Background · Budget · Timeline · Time Capacity · Learning Style.</w:t>
      </w:r>
      <w:r>
        <w:t xml:space="preserve"> </w:t>
      </w:r>
      <w:r>
        <w:rPr>
          <w:i/>
        </w:rPr>
        <w:t xml:space="preserve">(Full framework: Core Playbook Section 3)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objection-cheat-sheet"/>
      <w:r>
        <w:t xml:space="preserve">4. Objection Cheat Sheet</w:t>
      </w:r>
      <w:bookmarkEnd w:id="25"/>
    </w:p>
    <w:tbl>
      <w:tblPr>
        <w:tblStyle w:val="Table"/>
        <w:tblLook w:firstRow="1"/>
        <w:tblW w:w="5000" w:type="pct"/>
        <w:tblLayout w:type="fixed"/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Objection</w:t>
            </w:r>
          </w:p>
        </w:tc>
        <w:tc>
          <w:tcPr>
            <w:tcBorders>
              <w:bottom w:val="single"/>
            </w:tcBorders>
            <w:vAlign w:val="bottom"/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Diagnose first</w:t>
            </w:r>
          </w:p>
        </w:tc>
        <w:tc>
          <w:tcPr>
            <w:tcBorders>
              <w:bottom w:val="single"/>
            </w:tcBorders>
            <w:vAlign w:val="bottom"/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One-line response starter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Too expensive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Budget vs. value uncertainty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it more that the number is a stretch, or that you’re not sure it’s worth it yet?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Need time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Genuine deliberation vs. hidden concern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there something specific you’re weighing?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Parent/spouse/employer approval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Family/organizational decision dynamic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it help if I spoke with them directly?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Comparing institutes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Rational due diligence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drawing you to look at them specifically?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Need EMI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Cash-flow logistics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 me walk you through the actual monthly numbers.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Need scholarship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Financial constraint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 me check current criteria — and look at EMI or a staged start in parallel.</w:t>
            </w:r>
            <w:r>
              <w:t xml:space="preserve">”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Need placement guarantee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Desire for certainty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course can honestly guarantee that — here’s the realistic picture.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Golden rule:</w:t>
      </w:r>
      <w:r>
        <w:t xml:space="preserve"> </w:t>
      </w:r>
      <w:r>
        <w:t xml:space="preserve">never criticize a named competitor. Ever.</w:t>
      </w:r>
      <w:r>
        <w:t xml:space="preserve"> </w:t>
      </w:r>
      <w:r>
        <w:rPr>
          <w:i/>
        </w:rPr>
        <w:t xml:space="preserve">(Full detail: Core Playbook Section 8)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op-20-faqs"/>
      <w:r>
        <w:t xml:space="preserve">5. Top 20 FAQs</w:t>
      </w:r>
      <w:bookmarkEnd w:id="26"/>
    </w:p>
    <w:tbl>
      <w:tblPr>
        <w:tblStyle w:val="Table"/>
        <w:tblLook w:firstRow="1"/>
        <w:tblW w:w="5000" w:type="pct"/>
        <w:tblLayout w:type="fixed"/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Answer approach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Should I do Gem-A or IGI?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Depends on target geography/segment (Core Playbook 6.4).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Should I do GIA instead?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Both legitimate — different strengths by market (6.4).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Will I get placement after this course?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No course guarantees placement — describe realistic roadmaps (5, 8.9).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Can I work abroad with this?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Depends on pathway and target market (5.14).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What’s the realistic starting salary?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Give the indicative range for their career family (5).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Can I start my own business after this?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Yes — legitimate, common path (5.12).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Will AI replace gemmologists?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Assists, doesn’t replace human judgment (12).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Can commerce/arts students join?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Yes, no stream restriction for most courses.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Am I too old to start this?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No upper limit — career changers in 30s-50s are common (2.3).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Online or classroom — which is better?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Depends on learning style and time (3.7).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Can I study while working full-time?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Yes, via weekend/evening batches.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Is EMI available?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Yes — confirm current terms.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Are there scholarships?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Confirm current policy; never promise unapproved.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Are there hidden costs?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State all costs upfront and in writing.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My parents aren’t convinced — what do I do?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Offer to speak with them directly (2.4, 10).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Do you cover lab-grown diamonds?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Yes — both natural and lab-grown identification (12).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What’s the difference between DG and GG?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GG = DG + full colored stone training (4.1, 4.2).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Will this be recognized in my home country?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Depends on country/segment — give a specific answer (5.14).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Is the diamond industry shrinking due to lab-grown?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Evolving, not shrinking — new specialization demand (12).</w:t>
            </w:r>
          </w:p>
        </w:tc>
      </w:tr>
      <w:tr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2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What if I finish and don’t like the field?</w:t>
            </w:r>
          </w:p>
        </w:tc>
        <w:tc>
          <w:tcPr>
            <w:tcW w:w="26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Better discovered after a low-commitment course first (3.6).</w:t>
            </w:r>
          </w:p>
        </w:tc>
      </w:tr>
    </w:tbl>
    <w:p>
      <w:pPr>
        <w:pStyle w:val="BodyText"/>
      </w:pPr>
      <w:r>
        <w:rPr>
          <w:i/>
        </w:rPr>
        <w:t xml:space="preserve">(Full 250-question bank: Reference Library, Volume 2)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the-call-framework-decide"/>
      <w:r>
        <w:t xml:space="preserve">6. The Call Framework (DECIDE)</w:t>
      </w:r>
      <w:bookmarkEnd w:id="27"/>
    </w:p>
    <w:tbl>
      <w:tblPr>
        <w:tblStyle w:val="Table"/>
        <w:tblLook w:firstRow="1"/>
        <w:tblW w:w="5000" w:type="pct"/>
        <w:tblLayout w:type="fixed"/>
      </w:tblPr>
      <w:tblGrid/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 this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Approx. time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  <w:r>
              <w:t xml:space="preserve">isarm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Warm, human opening — no course talk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1-2 min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  <w:r>
              <w:t xml:space="preserve">xplore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Open-ended discovery questions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5-8 min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  <w:r>
              <w:t xml:space="preserve">larify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Reflect back, confirm specifics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3-5 min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</w:t>
            </w:r>
            <w:r>
              <w:t xml:space="preserve">nform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Present the fitting course, honestly, with trade-offs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5-8 min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  <w:r>
              <w:t xml:space="preserve">iscuss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Handle objections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5-8 min</w:t>
            </w:r>
          </w:p>
        </w:tc>
      </w:tr>
      <w:tr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  <w:r>
              <w:t xml:space="preserve">nable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Give a clear, low-pressure next step</w:t>
            </w:r>
          </w:p>
        </w:tc>
        <w:tc>
          <w:tcPr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2-3 min</w:t>
            </w:r>
          </w:p>
        </w:tc>
      </w:tr>
    </w:tbl>
    <w:p>
      <w:pPr>
        <w:pStyle w:val="BodyText"/>
      </w:pPr>
      <w:r>
        <w:rPr>
          <w:b/>
        </w:rPr>
        <w:t xml:space="preserve">Talk-to-listen ratio target during Discovery: 40% you, 60% them.</w:t>
      </w:r>
      <w:r>
        <w:t xml:space="preserve"> </w:t>
      </w:r>
      <w:r>
        <w:rPr>
          <w:i/>
        </w:rPr>
        <w:t xml:space="preserve">(Full framework: Core Playbook Section 3.2)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pre-call-checklist"/>
      <w:r>
        <w:t xml:space="preserve">7. Pre-Call Checklist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☐ I know today’s accurate fee structure, EMI, and any approved offers</w:t>
      </w:r>
    </w:p>
    <w:p>
      <w:pPr>
        <w:numPr>
          <w:ilvl w:val="0"/>
          <w:numId w:val="1001"/>
        </w:numPr>
        <w:pStyle w:val="Compact"/>
      </w:pPr>
      <w:r>
        <w:t xml:space="preserve">☐ I have my Needs Analysis card ready (Core Playbook 3.3)</w:t>
      </w:r>
    </w:p>
    <w:p>
      <w:pPr>
        <w:numPr>
          <w:ilvl w:val="0"/>
          <w:numId w:val="1001"/>
        </w:numPr>
        <w:pStyle w:val="Compact"/>
      </w:pPr>
      <w:r>
        <w:t xml:space="preserve">☐ I am not counselling while distracted or rushed</w:t>
      </w:r>
    </w:p>
    <w:p>
      <w:pPr>
        <w:numPr>
          <w:ilvl w:val="0"/>
          <w:numId w:val="1001"/>
        </w:numPr>
        <w:pStyle w:val="Compact"/>
      </w:pPr>
      <w:r>
        <w:t xml:space="preserve">☐ I know this student’s persona hypothesis before I dial</w:t>
      </w:r>
    </w:p>
    <w:p>
      <w:pPr>
        <w:pStyle w:val="Heading1"/>
      </w:pPr>
      <w:bookmarkStart w:id="29" w:name="post-call-checklist"/>
      <w:r>
        <w:t xml:space="preserve">Post-Call Checklist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☐ Needs Analysis documented</w:t>
      </w:r>
    </w:p>
    <w:p>
      <w:pPr>
        <w:numPr>
          <w:ilvl w:val="0"/>
          <w:numId w:val="1002"/>
        </w:numPr>
        <w:pStyle w:val="Compact"/>
      </w:pPr>
      <w:r>
        <w:t xml:space="preserve">☐ At least one honest trade-off named</w:t>
      </w:r>
    </w:p>
    <w:p>
      <w:pPr>
        <w:numPr>
          <w:ilvl w:val="0"/>
          <w:numId w:val="1002"/>
        </w:numPr>
        <w:pStyle w:val="Compact"/>
      </w:pPr>
      <w:r>
        <w:t xml:space="preserve">☐ Current fee/EMI/refund policy confirmed in writing</w:t>
      </w:r>
    </w:p>
    <w:p>
      <w:pPr>
        <w:numPr>
          <w:ilvl w:val="0"/>
          <w:numId w:val="1002"/>
        </w:numPr>
        <w:pStyle w:val="Compact"/>
      </w:pPr>
      <w:r>
        <w:t xml:space="preserve">☐ Next follow-up touchpoint scheduled — regardless of outcome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onboarding-rollout-plan"/>
      <w:r>
        <w:t xml:space="preserve">8. Onboarding &amp; Rollout Plan</w:t>
      </w:r>
      <w:bookmarkEnd w:id="30"/>
    </w:p>
    <w:p>
      <w:pPr>
        <w:pStyle w:val="BlockText"/>
      </w:pPr>
      <w:r>
        <w:t xml:space="preserve">This is how the Core Playbook, this Field Guide, and live practice fit together for a new counsellor’s first six weeks. Certification (Core Playbook Section 13) sits at the end of Week 6, not Day 1.</w:t>
      </w:r>
    </w:p>
    <w:tbl>
      <w:tblPr>
        <w:tblStyle w:val="Table"/>
        <w:tblLook w:firstRow="1"/>
        <w:tblW w:w="5000" w:type="pct"/>
        <w:tblLayout w:type="fixed"/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142A4D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1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Philosophy, Ethics, Personas (Core Playbook 1-2)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Trainer-led session, 2 x 90 min, discussion not solo reading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Self-Assessment 1.1 completed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2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Consultative Framework + Course Guide (3-4)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Trainer-led + shadowing 3 live calls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Needs Analysis card practiced on shadowed calls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3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Career Roadmaps + Competitor Comparison (5-6)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Self-paced, 20 min/day, + 1 role-play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Role Plays 4, 20, 21 (comparison scenarios)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4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FAQ Library + Objection Handling (7-8)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Field Guide drilling — quiz format, not reading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Pass Knowledge Test practice round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5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Communication + Scripts + Role-Plays (9-11)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3 supervised live calls, 2 role-plays/week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</w:tcPr>
          <w:p>
            <w:pPr>
              <w:pStyle w:val="Compact"/>
              <w:jc w:val="left"/>
            </w:pPr>
            <w:r>
              <w:t xml:space="preserve">Sales Assessment mock call #1</w:t>
            </w:r>
          </w:p>
        </w:tc>
      </w:tr>
      <w:tr>
        <w:tc>
          <w:tcPr>
            <w:tcW w:w="11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Week 6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Knowledge Library + full certification (12-13)</w:t>
            </w:r>
          </w:p>
        </w:tc>
        <w:tc>
          <w:tcPr>
            <w:tcW w:w="10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Full Certification Program (13.1-13.6)</w:t>
            </w:r>
          </w:p>
        </w:tc>
        <w:tc>
          <w:tcPr>
            <w:tcW w:w="1900" w:type="pct"/>
            <w:tcBorders>
              <w:top w:val="single" w:sz="4" w:space="0" w:color="B9A66B"/>
              <w:left w:val="single" w:sz="4" w:space="0" w:color="B9A66B"/>
              <w:bottom w:val="single" w:sz="4" w:space="0" w:color="B9A66B"/>
              <w:right w:val="single" w:sz="4" w:space="0" w:color="B9A66B"/>
            </w:tcBorders>
            <w:shd w:val="clear" w:fill="F5F1E6"/>
          </w:tcPr>
          <w:p>
            <w:pPr>
              <w:pStyle w:val="Compact"/>
              <w:jc w:val="left"/>
            </w:pPr>
            <w:r>
              <w:t xml:space="preserve">Certified / Provisional outcome</w:t>
            </w:r>
          </w:p>
        </w:tc>
      </w:tr>
    </w:tbl>
    <w:p>
      <w:pPr>
        <w:pStyle w:val="BodyText"/>
      </w:pPr>
      <w:r>
        <w:rPr>
          <w:b/>
        </w:rPr>
        <w:t xml:space="preserve">After certification:</w:t>
      </w:r>
      <w:r>
        <w:t xml:space="preserve"> </w:t>
      </w:r>
      <w:r>
        <w:t xml:space="preserve">one role-play per week, ongoing (Core Playbook 11, Practice Protocol), quarterly Knowledge Library refresh (12), annual recertification (13.6).</w:t>
      </w:r>
    </w:p>
    <w:p>
      <w:pPr>
        <w:pStyle w:val="BlockText"/>
      </w:pPr>
      <w:r>
        <w:rPr>
          <w:b/>
        </w:rPr>
        <w:t xml:space="preserve">MANAGER NOTE:</w:t>
      </w:r>
      <w:r>
        <w:t xml:space="preserve"> </w:t>
      </w:r>
      <w:r>
        <w:t xml:space="preserve">Nobody is assigned</w:t>
      </w:r>
      <w:r>
        <w:t xml:space="preserve"> </w:t>
      </w:r>
      <w:r>
        <w:t xml:space="preserve">“</w:t>
      </w:r>
      <w:r>
        <w:t xml:space="preserve">read the Core Playbook</w:t>
      </w:r>
      <w:r>
        <w:t xml:space="preserve">”</w:t>
      </w:r>
      <w:r>
        <w:t xml:space="preserve"> </w:t>
      </w:r>
      <w:r>
        <w:t xml:space="preserve">as a task. Every week has a trainer-led or supervised component — the document supports the training, it doesn’t replace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Field Guide is a living document — reprint whenever fees, batch schedules, or the FAQ/objection bank are updated in the Core Playbook.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</w:pPr>
    <w:rPr>
      <w:rFonts w:ascii="Calibri" w:hAnsi="Calibri" w:eastAsia="Calibri" w:cs="Calibri"/>
      <w:color w:val="3333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Theme="majorHAnsi" w:eastAsiaTheme="majorEastAsia" w:hAnsiTheme="majorHAnsi" w:cstheme="majorBidi" w:ascii="Cambria" w:hAnsi="Cambria" w:eastAsia="Cambria" w:cs="Cambria"/>
      <w:b/>
      <w:bCs/>
      <w:color w:val="142A4D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mbria" w:hAnsi="Cambria" w:eastAsia="Cambria" w:cs="Cambria"/>
      <w:i/>
      <w:color w:val="9A772F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20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142A4D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2A4D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9A772F"/>
      <w:sz w:val="25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firstLine="0" w:left="283" w:right="283"/>
      <w:shd w:val="clear" w:fill="F2EEE3"/>
      <w:pBdr>
        <w:top w:val="single" w:sz="8" w:space="4" w:color="9A772F"/>
        <w:left w:val="single" w:sz="8" w:space="4" w:color="9A772F"/>
        <w:bottom w:val="single" w:sz="8" w:space="4" w:color="9A772F"/>
        <w:right w:val="single" w:sz="8" w:space="4" w:color="9A772F"/>
      </w:pBdr>
    </w:pPr>
    <w:rPr>
      <w:rFonts w:ascii="Calibri" w:hAnsi="Calibri" w:eastAsia="Calibri" w:cs="Calibri"/>
      <w:i/>
      <w:color w:val="142A4D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40" w:after="40" w:line="240" w:lineRule="auto"/>
      <w:shd w:val="clear" w:fill="F7F7F2"/>
    </w:pPr>
    <w:rPr>
      <w:rFonts w:ascii="Consolas" w:hAnsi="Consolas" w:eastAsia="Consolas" w:cs="Consolas"/>
      <w:color w:val="142A4D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2026-07-14T08:46:49Z</dcterms:created>
  <dcterms:modified xsi:type="dcterms:W3CDTF">2026-07-14T08:46:49Z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