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IGI SCHOOL OF GEMOLOGY INDIA</w:t>
      </w:r>
    </w:p>
    <w:p>
      <w:pPr>
        <w:pStyle w:val="Subtitle"/>
      </w:pPr>
      <w:r>
        <w:t xml:space="preserve">The Reference Library — Volume 2</w:t>
      </w:r>
    </w:p>
    <w:p>
      <w:pPr>
        <w:pStyle w:val="Subtitle"/>
      </w:pPr>
      <w:r>
        <w:t xml:space="preserve">250 FAQs · 100 Role-Plays</w:t>
      </w:r>
    </w:p>
    <w:p>
      <w:pPr>
        <w:pStyle w:val="BodyText"/>
      </w:pPr>
      <w:r>
        <w:br/>
      </w:r>
    </w:p>
    <w:p>
      <w:pPr>
        <w:pStyle w:val="BodyText"/>
      </w:pPr>
      <w:r>
        <w:rPr>
          <w:b/>
        </w:rPr>
        <w:t xml:space="preserve">The deep-lookup companion to the Core Playbook and Field Guide.</w:t>
      </w:r>
    </w:p>
    <w:p>
      <w:pPr>
        <w:pStyle w:val="BodyText"/>
      </w:pPr>
      <w:r>
        <w:t xml:space="preserve">Not designed to be read cover-to-cover — use the Cross-Reference Index and search function to jump directly to what a live conversation needs.</w:t>
      </w:r>
    </w:p>
    <w:p>
      <w:pPr>
        <w:pStyle w:val="Heading2"/>
      </w:pPr>
      <w:bookmarkStart w:id="20" w:name="about-this-volume"/>
      <w:r>
        <w:t xml:space="preserve">About This Volume</w:t>
      </w:r>
      <w:bookmarkEnd w:id="20"/>
    </w:p>
    <w:p>
      <w:pPr>
        <w:pStyle w:val="FirstParagraph"/>
      </w:pPr>
      <w:r>
        <w:t xml:space="preserve">The Core Playbook (Volume 1) curated the 75 FAQs and 25 role-plays counsellors need most often. This Reference Library extends both to full depth: 250 FAQs across sixteen categories, and 100 role-play scenarios — 60 in full narrative format, 40 as fast daily-practice drills.</w:t>
      </w:r>
    </w:p>
    <w:p>
      <w:pPr>
        <w:pStyle w:val="BodyText"/>
      </w:pPr>
      <w:r>
        <w:t xml:space="preserve">Use this the way a lawyer uses a case-law database: not as required reading, but as the place you go when a live conversation raises something the Core Playbook’s curated set didn’t cover.</w:t>
      </w:r>
    </w:p>
    <w:p>
      <w:pPr>
        <w:pStyle w:val="Heading1"/>
      </w:pPr>
      <w:bookmarkStart w:id="21" w:name="the-extended-faq-bank-250-questions"/>
      <w:r>
        <w:t xml:space="preserve">THE EXTENDED FAQ BANK (250 Questions)</w:t>
      </w:r>
      <w:bookmarkEnd w:id="21"/>
    </w:p>
    <w:p>
      <w:pPr>
        <w:pStyle w:val="BlockText"/>
      </w:pPr>
      <w:r>
        <w:t xml:space="preserve">This is the complete lookup bank behind the Core Playbook’s curated Top 75 (Section 7) and Top 20 (Field Guide). Organized by category for fast search. Every answer follows the same rule: build trust, educate, guide — never hard-sell. Cross-references point back to the Core Playbook for full reasoning.</w:t>
      </w:r>
    </w:p>
    <w:p>
      <w:r>
        <w:pict>
          <v:rect style="width:0;height:1.5pt" o:hralign="center" o:hrstd="t" o:hr="t"/>
        </w:pict>
      </w:r>
    </w:p>
    <w:p>
      <w:pPr>
        <w:pStyle w:val="Heading2"/>
      </w:pPr>
      <w:bookmarkStart w:id="22" w:name="a.-institute-choice-comparison"/>
      <w:r>
        <w:t xml:space="preserve">A. Institute Choice &amp; Comparison</w:t>
      </w:r>
      <w:bookmarkEnd w:id="22"/>
    </w:p>
    <w:tbl>
      <w:tblPr>
        <w:tblStyle w:val="Table"/>
        <w:tblLook w:firstRow="1"/>
        <w:tblW w:w="5000" w:type="pct"/>
        <w:tblLayout w:type="fixed"/>
      </w:tblPr>
      <w:tblGrid>
        <w:gridCol w:w="2640"/>
        <w:gridCol w:w="2640"/>
        <w:gridCol w:w="2640"/>
      </w:tblGrid>
      <w:tr>
        <w:trPr>
          <w:cnfStyle w:firstRow="1"/>
          <w:tblHeader w:val="true"/>
        </w:trPr>
        <w:tc>
          <w:tcPr>
            <w:tcBorders>
              <w:bottom w:val="single"/>
            </w:tcBorders>
            <w:vAlign w:val="bottom"/>
            <w:tcW w:w="1200" w:type="pct"/>
            <w:tcBorders>
              <w:top w:val="single" w:sz="4" w:space="0" w:color="B9A66B"/>
              <w:left w:val="single" w:sz="4" w:space="0" w:color="B9A66B"/>
              <w:bottom w:val="single" w:sz="4" w:space="0" w:color="B9A66B"/>
              <w:right w:val="single" w:sz="4" w:space="0" w:color="B9A66B"/>
            </w:tcBorders>
            <w:shd w:val="clear" w:fill="142A4D"/>
          </w:tcPr>
          <w:p>
            <w:pPr>
              <w:pStyle w:val="Compact"/>
              <w:jc w:val="left"/>
            </w:pPr>
            <w:r>
              <w:rPr>
                <w:b/>
                <w:color w:val="FFFFFF"/>
              </w:rPr>
              <w:t xml:space="preserve">#</w:t>
            </w:r>
          </w:p>
        </w:tc>
        <w:tc>
          <w:tcPr>
            <w:tcBorders>
              <w:bottom w:val="single"/>
            </w:tcBorders>
            <w:vAlign w:val="bottom"/>
            <w:tcW w:w="1200" w:type="pct"/>
            <w:tcBorders>
              <w:top w:val="single" w:sz="4" w:space="0" w:color="B9A66B"/>
              <w:left w:val="single" w:sz="4" w:space="0" w:color="B9A66B"/>
              <w:bottom w:val="single" w:sz="4" w:space="0" w:color="B9A66B"/>
              <w:right w:val="single" w:sz="4" w:space="0" w:color="B9A66B"/>
            </w:tcBorders>
            <w:shd w:val="clear" w:fill="142A4D"/>
          </w:tcPr>
          <w:p>
            <w:pPr>
              <w:pStyle w:val="Compact"/>
              <w:jc w:val="left"/>
            </w:pPr>
            <w:r>
              <w:rPr>
                <w:b/>
                <w:color w:val="FFFFFF"/>
              </w:rPr>
              <w:t xml:space="preserve">Question</w:t>
            </w:r>
          </w:p>
        </w:tc>
        <w:tc>
          <w:tcPr>
            <w:tcBorders>
              <w:bottom w:val="single"/>
            </w:tcBorders>
            <w:vAlign w:val="bottom"/>
            <w:tcW w:w="2600" w:type="pct"/>
            <w:tcBorders>
              <w:top w:val="single" w:sz="4" w:space="0" w:color="B9A66B"/>
              <w:left w:val="single" w:sz="4" w:space="0" w:color="B9A66B"/>
              <w:bottom w:val="single" w:sz="4" w:space="0" w:color="B9A66B"/>
              <w:right w:val="single" w:sz="4" w:space="0" w:color="B9A66B"/>
            </w:tcBorders>
            <w:shd w:val="clear" w:fill="142A4D"/>
          </w:tcPr>
          <w:p>
            <w:pPr>
              <w:pStyle w:val="Compact"/>
              <w:jc w:val="left"/>
            </w:pPr>
            <w:r>
              <w:rPr>
                <w:b/>
                <w:color w:val="FFFFFF"/>
              </w:rPr>
              <w:t xml:space="preserve">Answer approach</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1</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Should I do Gem-A or IGI?</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Depends on target geography/segment — Core Playbook 6.4.</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2</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Should I do GIA instead of IGI?</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Both legitimate; different brand strengths by market (6.4).</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3</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Is IGI as good as GIA?</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Different strengths, not strictly better/worse (6.5).</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4</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What makes IGI different from other Indian institutes?</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Integrated lab-and-school model (1.2).</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5</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Is IGI government-recognized?</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State accurate current accreditation status; escalate if unsure.</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6</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How does IGI compare to IIGJ?</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IIGJ is GJEPC-linked, longer/degree-style; IGI is modular (6.5).</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7</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How does IGI compare to GII?</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GII is India-based non-profit trust; IGI has larger global lab network (6.2).</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8</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How does IGI compare to HRD Antwerp?</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HRD represents the Antwerp trade specifically; IGI is broader globally (6.2).</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9</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Why is IGI’s fee different from a local institute’s?</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Reflects scale, lab access, and international network — explain value, don’t just defend price.</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10</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Is a bigger institute always better?</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Not necessarily — fit depends on the student’s specific goal (6.3).</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11</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Which institute has better faculty?</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Speak only to what you know about IGI’s faculty; don’t speculate about competitors.</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12</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Is IGI’s certificate accepted by jewellers in my city?</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Confirm regional acceptance patterns honestly; escalate if unsure.</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13</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Does IGI have tie-ups with GIA or Gem-A?</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State the actual current relationship accurately; don’t imply an affiliation that doesn’t exist.</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14</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Why do some people say GIA is</w:t>
            </w:r>
            <w:r>
              <w:t xml:space="preserve"> </w:t>
            </w:r>
            <w:r>
              <w:t xml:space="preserve">“</w:t>
            </w:r>
            <w:r>
              <w:t xml:space="preserve">the original</w:t>
            </w:r>
            <w:r>
              <w:t xml:space="preserve">”</w:t>
            </w:r>
            <w:r>
              <w:t xml:space="preserve">?</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GIA is a well-known US-founded institute; that doesn’t diminish IGI’s own standing and history (1.2).</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15</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Is SSEF relevant for someone studying in India?</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SSEF is a Swiss specialist lab, most relevant for advanced colored-stone origin work (6.2).</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16</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Should I choose based on price alone?</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Price is one input — match to career goal and format fit first (3.8).</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17</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Is IIDGR a teaching institute or just a lab?</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Primarily a De Beers research/grading arm, not a general teaching school (6.2).</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18</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Can I trust online reviews when comparing institutes?</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Useful but incomplete — encourage direct questions in addition to reviews.</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19</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Does the</w:t>
            </w:r>
            <w:r>
              <w:t xml:space="preserve"> </w:t>
            </w:r>
            <w:r>
              <w:t xml:space="preserve">“</w:t>
            </w:r>
            <w:r>
              <w:t xml:space="preserve">best</w:t>
            </w:r>
            <w:r>
              <w:t xml:space="preserve">”</w:t>
            </w:r>
            <w:r>
              <w:t xml:space="preserve"> </w:t>
            </w:r>
            <w:r>
              <w:t xml:space="preserve">institute depend on which city I’m in?</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Yes, partly — regional trade recognition varies (6.3).</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20</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If I’m unsure, how should I decide?</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Use the Section 6.3 fit table matched to your specific target career.</w:t>
            </w:r>
          </w:p>
        </w:tc>
      </w:tr>
    </w:tbl>
    <w:p>
      <w:pPr>
        <w:pStyle w:val="Heading2"/>
      </w:pPr>
      <w:bookmarkStart w:id="23" w:name="b.-career-outcomes-placement"/>
      <w:r>
        <w:t xml:space="preserve">B. Career Outcomes &amp; Placement</w:t>
      </w:r>
      <w:bookmarkEnd w:id="23"/>
    </w:p>
    <w:tbl>
      <w:tblPr>
        <w:tblStyle w:val="Table"/>
        <w:tblLook w:firstRow="1"/>
        <w:tblW w:w="5000" w:type="pct"/>
        <w:tblLayout w:type="fixed"/>
      </w:tblPr>
      <w:tblGrid>
        <w:gridCol w:w="2640"/>
        <w:gridCol w:w="2640"/>
        <w:gridCol w:w="2640"/>
      </w:tblGrid>
      <w:tr>
        <w:trPr>
          <w:cnfStyle w:firstRow="1"/>
          <w:tblHeader w:val="true"/>
        </w:trPr>
        <w:tc>
          <w:tcPr>
            <w:tcBorders>
              <w:bottom w:val="single"/>
            </w:tcBorders>
            <w:vAlign w:val="bottom"/>
            <w:tcW w:w="1200" w:type="pct"/>
            <w:tcBorders>
              <w:top w:val="single" w:sz="4" w:space="0" w:color="B9A66B"/>
              <w:left w:val="single" w:sz="4" w:space="0" w:color="B9A66B"/>
              <w:bottom w:val="single" w:sz="4" w:space="0" w:color="B9A66B"/>
              <w:right w:val="single" w:sz="4" w:space="0" w:color="B9A66B"/>
            </w:tcBorders>
            <w:shd w:val="clear" w:fill="142A4D"/>
          </w:tcPr>
          <w:p>
            <w:pPr>
              <w:pStyle w:val="Compact"/>
              <w:jc w:val="left"/>
            </w:pPr>
            <w:r>
              <w:rPr>
                <w:b/>
                <w:color w:val="FFFFFF"/>
              </w:rPr>
              <w:t xml:space="preserve">#</w:t>
            </w:r>
          </w:p>
        </w:tc>
        <w:tc>
          <w:tcPr>
            <w:tcBorders>
              <w:bottom w:val="single"/>
            </w:tcBorders>
            <w:vAlign w:val="bottom"/>
            <w:tcW w:w="1200" w:type="pct"/>
            <w:tcBorders>
              <w:top w:val="single" w:sz="4" w:space="0" w:color="B9A66B"/>
              <w:left w:val="single" w:sz="4" w:space="0" w:color="B9A66B"/>
              <w:bottom w:val="single" w:sz="4" w:space="0" w:color="B9A66B"/>
              <w:right w:val="single" w:sz="4" w:space="0" w:color="B9A66B"/>
            </w:tcBorders>
            <w:shd w:val="clear" w:fill="142A4D"/>
          </w:tcPr>
          <w:p>
            <w:pPr>
              <w:pStyle w:val="Compact"/>
              <w:jc w:val="left"/>
            </w:pPr>
            <w:r>
              <w:rPr>
                <w:b/>
                <w:color w:val="FFFFFF"/>
              </w:rPr>
              <w:t xml:space="preserve">Question</w:t>
            </w:r>
          </w:p>
        </w:tc>
        <w:tc>
          <w:tcPr>
            <w:tcBorders>
              <w:bottom w:val="single"/>
            </w:tcBorders>
            <w:vAlign w:val="bottom"/>
            <w:tcW w:w="2600" w:type="pct"/>
            <w:tcBorders>
              <w:top w:val="single" w:sz="4" w:space="0" w:color="B9A66B"/>
              <w:left w:val="single" w:sz="4" w:space="0" w:color="B9A66B"/>
              <w:bottom w:val="single" w:sz="4" w:space="0" w:color="B9A66B"/>
              <w:right w:val="single" w:sz="4" w:space="0" w:color="B9A66B"/>
            </w:tcBorders>
            <w:shd w:val="clear" w:fill="142A4D"/>
          </w:tcPr>
          <w:p>
            <w:pPr>
              <w:pStyle w:val="Compact"/>
              <w:jc w:val="left"/>
            </w:pPr>
            <w:r>
              <w:rPr>
                <w:b/>
                <w:color w:val="FFFFFF"/>
              </w:rPr>
              <w:t xml:space="preserve">Answer approach</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21</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Will I get placement after this course?</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No guarantee — describe realistic roadmaps (5, 8.9).</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22</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What percentage of graduates get jobs?</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Avoid quoting unverified statistics; describe realistic patterns only.</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23</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Can I work abroad with this qualification?</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Depends on pathway/market (5.14).</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24</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What’s the realistic starting salary?</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Give the indicative range for their career family (5).</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25</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Can I start my own business after this?</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Yes, legitimate common path (5.12).</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26</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Can I become a valuer/appraiser?</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Yes, typically after GG plus a credibility-building period (5.11).</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27</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How long until I’m actually skilled, not just certified?</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1-3 years of applied practice typically compounds real fluency.</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28</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What’s the fastest path to a laboratory job?</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Diamond Graduate or Graduate Gemologist, per Section 5.7.</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29</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Is this a stable, long-term career?</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The trade has existed for generations and continues evolving (12.10) — frame honestly, not as risk-free.</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30</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Do graduates typically stay in this field long-term?</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Retention varies by genuine fit — this is exactly why Discovery matters (3).</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31</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What’s the ceiling for someone very ambitious?</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Senior lab, buying, or independent trading roles can reach significant seniority (5).</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32</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Can I combine this with my existing job/business?</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Often yes — map using Section 3.7.</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33</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What happens if I don’t like the field after finishing?</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Better discovered after a low-commitment course first (3.6).</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34</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Do you offer career counselling after graduation?</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Describe accurately what post-graduation support genuinely exists.</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35</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Is this a good field for someone who wants to work independently?</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Yes — trading, consulting, and entrepreneurship are real paths (5.11, 5.12).</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36</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How competitive is the job market in this field?</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Varies by city and specialization; be honest rather than falsely reassuring.</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37</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Will a diploma alone get me a senior role?</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No — seniority builds with experience on top of the credential (5).</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38</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Can this lead to a government job?</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Some government-linked roles value the credential, but recruitment is a separate process (5.13).</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39</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What’s the typical career trajectory over 10 years?</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Use the specific career family’s stage table in Section 5.</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40</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Is freelancing common in this field?</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Yes, particularly in design (JewelPad) and consulting (5.11).</w:t>
            </w:r>
          </w:p>
        </w:tc>
      </w:tr>
    </w:tbl>
    <w:p>
      <w:pPr>
        <w:pStyle w:val="Heading2"/>
      </w:pPr>
      <w:bookmarkStart w:id="24" w:name="c.-eligibility-background"/>
      <w:r>
        <w:t xml:space="preserve">C. Eligibility &amp; Background</w:t>
      </w:r>
      <w:bookmarkEnd w:id="24"/>
    </w:p>
    <w:tbl>
      <w:tblPr>
        <w:tblStyle w:val="Table"/>
        <w:tblLook w:firstRow="1"/>
        <w:tblW w:w="5000" w:type="pct"/>
        <w:tblLayout w:type="fixed"/>
      </w:tblPr>
      <w:tblGrid>
        <w:gridCol w:w="2640"/>
        <w:gridCol w:w="2640"/>
        <w:gridCol w:w="2640"/>
      </w:tblGrid>
      <w:tr>
        <w:trPr>
          <w:cnfStyle w:firstRow="1"/>
          <w:tblHeader w:val="true"/>
        </w:trPr>
        <w:tc>
          <w:tcPr>
            <w:tcBorders>
              <w:bottom w:val="single"/>
            </w:tcBorders>
            <w:vAlign w:val="bottom"/>
            <w:tcW w:w="1200" w:type="pct"/>
            <w:tcBorders>
              <w:top w:val="single" w:sz="4" w:space="0" w:color="B9A66B"/>
              <w:left w:val="single" w:sz="4" w:space="0" w:color="B9A66B"/>
              <w:bottom w:val="single" w:sz="4" w:space="0" w:color="B9A66B"/>
              <w:right w:val="single" w:sz="4" w:space="0" w:color="B9A66B"/>
            </w:tcBorders>
            <w:shd w:val="clear" w:fill="142A4D"/>
          </w:tcPr>
          <w:p>
            <w:pPr>
              <w:pStyle w:val="Compact"/>
              <w:jc w:val="left"/>
            </w:pPr>
            <w:r>
              <w:rPr>
                <w:b/>
                <w:color w:val="FFFFFF"/>
              </w:rPr>
              <w:t xml:space="preserve">#</w:t>
            </w:r>
          </w:p>
        </w:tc>
        <w:tc>
          <w:tcPr>
            <w:tcBorders>
              <w:bottom w:val="single"/>
            </w:tcBorders>
            <w:vAlign w:val="bottom"/>
            <w:tcW w:w="1200" w:type="pct"/>
            <w:tcBorders>
              <w:top w:val="single" w:sz="4" w:space="0" w:color="B9A66B"/>
              <w:left w:val="single" w:sz="4" w:space="0" w:color="B9A66B"/>
              <w:bottom w:val="single" w:sz="4" w:space="0" w:color="B9A66B"/>
              <w:right w:val="single" w:sz="4" w:space="0" w:color="B9A66B"/>
            </w:tcBorders>
            <w:shd w:val="clear" w:fill="142A4D"/>
          </w:tcPr>
          <w:p>
            <w:pPr>
              <w:pStyle w:val="Compact"/>
              <w:jc w:val="left"/>
            </w:pPr>
            <w:r>
              <w:rPr>
                <w:b/>
                <w:color w:val="FFFFFF"/>
              </w:rPr>
              <w:t xml:space="preserve">Question</w:t>
            </w:r>
          </w:p>
        </w:tc>
        <w:tc>
          <w:tcPr>
            <w:tcBorders>
              <w:bottom w:val="single"/>
            </w:tcBorders>
            <w:vAlign w:val="bottom"/>
            <w:tcW w:w="2600" w:type="pct"/>
            <w:tcBorders>
              <w:top w:val="single" w:sz="4" w:space="0" w:color="B9A66B"/>
              <w:left w:val="single" w:sz="4" w:space="0" w:color="B9A66B"/>
              <w:bottom w:val="single" w:sz="4" w:space="0" w:color="B9A66B"/>
              <w:right w:val="single" w:sz="4" w:space="0" w:color="B9A66B"/>
            </w:tcBorders>
            <w:shd w:val="clear" w:fill="142A4D"/>
          </w:tcPr>
          <w:p>
            <w:pPr>
              <w:pStyle w:val="Compact"/>
              <w:jc w:val="left"/>
            </w:pPr>
            <w:r>
              <w:rPr>
                <w:b/>
                <w:color w:val="FFFFFF"/>
              </w:rPr>
              <w:t xml:space="preserve">Answer approach</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41</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Can commerce students join?</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Yes, no stream restriction typically.</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42</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Can arts students join?</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Yes — creative backgrounds suit design courses well.</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43</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Can science students join?</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Yes, analytical backgrounds help with technical grading content.</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44</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Am I too old to start this?</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No defined upper limit; career changers in 30s-50s are common (2.3).</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45</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Do I need prior jewellery/trade experience?</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No, for foundational and graduate programs.</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46</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Can school students join before college?</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Diamond Essentials/JewelPad are appropriate entry points.</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47</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Is there a minimum academic percentage required?</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Most courses don’t gate on percentage; confirm specifics.</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48</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Is there an age limit for the Gem-A pathway?</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No meaningful upper limit; confirm lower-age eligibility.</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49</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Can working professionals with no design background do JewelPad?</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Yes — foundational sessions accommodate true beginners (4.6).</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50</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Do I need to know how to use a computer for JewelPad?</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Basic digital literacy helps; the course teaches the specific tools.</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51</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Can homemakers/returning-to-work parents join?</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Yes — this is a common and successful profile.</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52</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Do I need English fluency?</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Confirm the language of instruction for the specific batch/centre.</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53</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Can differently-abled students join?</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Confirm accessibility accommodations honestly with your centre.</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54</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Is there an entrance test?</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Not typically for entry; Discovery (Section 3) determines the right starting course.</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55</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Can someone with a science background but no math skip prerequisites?</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Confirm actual prerequisites per course; don’t assume.</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56</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Is prior gemstone-handling experience required for CSG?</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No, though it helps; the course builds this from foundational level.</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57</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Can two siblings with very different backgrounds take the same course?</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Assess each individually via Discovery — don’t assume shared fit.</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58</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Do you accept international qualifications for entry?</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Confirm current equivalency policy accurately.</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59</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Can someone currently unemployed enroll?</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Yes — no employment status restriction typically.</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60</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Is a design portfolio required for JewelPad?</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Not typically for entry-level; may matter for advanced placement.</w:t>
            </w:r>
          </w:p>
        </w:tc>
      </w:tr>
    </w:tbl>
    <w:p>
      <w:pPr>
        <w:pStyle w:val="Heading2"/>
      </w:pPr>
      <w:bookmarkStart w:id="25" w:name="d.-format-time-logistics"/>
      <w:r>
        <w:t xml:space="preserve">D. Format, Time &amp; Logistics</w:t>
      </w:r>
      <w:bookmarkEnd w:id="25"/>
    </w:p>
    <w:tbl>
      <w:tblPr>
        <w:tblStyle w:val="Table"/>
        <w:tblLook w:firstRow="1"/>
        <w:tblW w:w="5000" w:type="pct"/>
        <w:tblLayout w:type="fixed"/>
      </w:tblPr>
      <w:tblGrid>
        <w:gridCol w:w="2640"/>
        <w:gridCol w:w="2640"/>
        <w:gridCol w:w="2640"/>
      </w:tblGrid>
      <w:tr>
        <w:trPr>
          <w:cnfStyle w:firstRow="1"/>
          <w:tblHeader w:val="true"/>
        </w:trPr>
        <w:tc>
          <w:tcPr>
            <w:tcBorders>
              <w:bottom w:val="single"/>
            </w:tcBorders>
            <w:vAlign w:val="bottom"/>
            <w:tcW w:w="1200" w:type="pct"/>
            <w:tcBorders>
              <w:top w:val="single" w:sz="4" w:space="0" w:color="B9A66B"/>
              <w:left w:val="single" w:sz="4" w:space="0" w:color="B9A66B"/>
              <w:bottom w:val="single" w:sz="4" w:space="0" w:color="B9A66B"/>
              <w:right w:val="single" w:sz="4" w:space="0" w:color="B9A66B"/>
            </w:tcBorders>
            <w:shd w:val="clear" w:fill="142A4D"/>
          </w:tcPr>
          <w:p>
            <w:pPr>
              <w:pStyle w:val="Compact"/>
              <w:jc w:val="left"/>
            </w:pPr>
            <w:r>
              <w:rPr>
                <w:b/>
                <w:color w:val="FFFFFF"/>
              </w:rPr>
              <w:t xml:space="preserve">#</w:t>
            </w:r>
          </w:p>
        </w:tc>
        <w:tc>
          <w:tcPr>
            <w:tcBorders>
              <w:bottom w:val="single"/>
            </w:tcBorders>
            <w:vAlign w:val="bottom"/>
            <w:tcW w:w="1200" w:type="pct"/>
            <w:tcBorders>
              <w:top w:val="single" w:sz="4" w:space="0" w:color="B9A66B"/>
              <w:left w:val="single" w:sz="4" w:space="0" w:color="B9A66B"/>
              <w:bottom w:val="single" w:sz="4" w:space="0" w:color="B9A66B"/>
              <w:right w:val="single" w:sz="4" w:space="0" w:color="B9A66B"/>
            </w:tcBorders>
            <w:shd w:val="clear" w:fill="142A4D"/>
          </w:tcPr>
          <w:p>
            <w:pPr>
              <w:pStyle w:val="Compact"/>
              <w:jc w:val="left"/>
            </w:pPr>
            <w:r>
              <w:rPr>
                <w:b/>
                <w:color w:val="FFFFFF"/>
              </w:rPr>
              <w:t xml:space="preserve">Question</w:t>
            </w:r>
          </w:p>
        </w:tc>
        <w:tc>
          <w:tcPr>
            <w:tcBorders>
              <w:bottom w:val="single"/>
            </w:tcBorders>
            <w:vAlign w:val="bottom"/>
            <w:tcW w:w="2600" w:type="pct"/>
            <w:tcBorders>
              <w:top w:val="single" w:sz="4" w:space="0" w:color="B9A66B"/>
              <w:left w:val="single" w:sz="4" w:space="0" w:color="B9A66B"/>
              <w:bottom w:val="single" w:sz="4" w:space="0" w:color="B9A66B"/>
              <w:right w:val="single" w:sz="4" w:space="0" w:color="B9A66B"/>
            </w:tcBorders>
            <w:shd w:val="clear" w:fill="142A4D"/>
          </w:tcPr>
          <w:p>
            <w:pPr>
              <w:pStyle w:val="Compact"/>
              <w:jc w:val="left"/>
            </w:pPr>
            <w:r>
              <w:rPr>
                <w:b/>
                <w:color w:val="FFFFFF"/>
              </w:rPr>
              <w:t xml:space="preserve">Answer approach</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61</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Online or classroom — which is better?</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Depends on learning style/time (3.7).</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62</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Can I study while working full-time?</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Yes, via weekend/evening batches.</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63</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What happens if I miss a class?</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Confirm current make-up policy per centre.</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64</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How many hours per week should I expect?</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Varies by course — see Section 4 profiles.</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65</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Is the lab component mandatory even for online courses?</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Yes for most credential-bearing programs.</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66</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Can I switch from online to classroom mid-course?</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Confirm current policy; don’t promise without verifying.</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67</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How soon can I start after enrolling?</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Depends on live batch schedule — always confirm, never estimate.</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68</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Is there a placement test before I start?</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Not required; Discovery identifies the right starting course.</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69</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What’s the class size typically like?</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Confirm actual current batch sizes.</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70</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Do you offer intensive/accelerated formats?</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Confirm current fast-track options per course.</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71</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Can I pause and resume a course if something urgent comes up?</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Confirm current policy on breaks/deferrals.</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72</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What if my work schedule changes mid-course?</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Discuss switching batch/format options with your centre.</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73</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Is attendance tracked and does it affect certification?</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Confirm current attendance requirements for certification eligibility.</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74</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Can I attend a different centre’s batch if mine is full?</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Confirm cross-centre policy.</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75</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Do you provide recorded sessions for online courses?</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Confirm current recording/playback policy.</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76</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How much independent study time is expected outside class?</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Varies by course intensity — set honest expectations.</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77</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Is there a difference in quality between weekday and weekend batches?</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No inherent difference — same curriculum, different schedule.</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78</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What device/equipment do I need for online components?</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Confirm technical requirements (device, internet, software) upfront.</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79</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Can I visit a centre before enrolling?</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Encourage this — most centres welcome a visit or trial session.</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80</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Is hostel/accommodation support available for out-of-town students?</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Confirm accurately what support genuinely exists; don’t overstate.</w:t>
            </w:r>
          </w:p>
        </w:tc>
      </w:tr>
    </w:tbl>
    <w:p>
      <w:pPr>
        <w:pStyle w:val="Heading2"/>
      </w:pPr>
      <w:bookmarkStart w:id="26" w:name="e.-money-fees-financing"/>
      <w:r>
        <w:t xml:space="preserve">E. Money, Fees &amp; Financing</w:t>
      </w:r>
      <w:bookmarkEnd w:id="26"/>
    </w:p>
    <w:tbl>
      <w:tblPr>
        <w:tblStyle w:val="Table"/>
        <w:tblLook w:firstRow="1"/>
        <w:tblW w:w="5000" w:type="pct"/>
        <w:tblLayout w:type="fixed"/>
      </w:tblPr>
      <w:tblGrid>
        <w:gridCol w:w="2640"/>
        <w:gridCol w:w="2640"/>
        <w:gridCol w:w="2640"/>
      </w:tblGrid>
      <w:tr>
        <w:trPr>
          <w:cnfStyle w:firstRow="1"/>
          <w:tblHeader w:val="true"/>
        </w:trPr>
        <w:tc>
          <w:tcPr>
            <w:tcBorders>
              <w:bottom w:val="single"/>
            </w:tcBorders>
            <w:vAlign w:val="bottom"/>
            <w:tcW w:w="1200" w:type="pct"/>
            <w:tcBorders>
              <w:top w:val="single" w:sz="4" w:space="0" w:color="B9A66B"/>
              <w:left w:val="single" w:sz="4" w:space="0" w:color="B9A66B"/>
              <w:bottom w:val="single" w:sz="4" w:space="0" w:color="B9A66B"/>
              <w:right w:val="single" w:sz="4" w:space="0" w:color="B9A66B"/>
            </w:tcBorders>
            <w:shd w:val="clear" w:fill="142A4D"/>
          </w:tcPr>
          <w:p>
            <w:pPr>
              <w:pStyle w:val="Compact"/>
              <w:jc w:val="left"/>
            </w:pPr>
            <w:r>
              <w:rPr>
                <w:b/>
                <w:color w:val="FFFFFF"/>
              </w:rPr>
              <w:t xml:space="preserve">#</w:t>
            </w:r>
          </w:p>
        </w:tc>
        <w:tc>
          <w:tcPr>
            <w:tcBorders>
              <w:bottom w:val="single"/>
            </w:tcBorders>
            <w:vAlign w:val="bottom"/>
            <w:tcW w:w="1200" w:type="pct"/>
            <w:tcBorders>
              <w:top w:val="single" w:sz="4" w:space="0" w:color="B9A66B"/>
              <w:left w:val="single" w:sz="4" w:space="0" w:color="B9A66B"/>
              <w:bottom w:val="single" w:sz="4" w:space="0" w:color="B9A66B"/>
              <w:right w:val="single" w:sz="4" w:space="0" w:color="B9A66B"/>
            </w:tcBorders>
            <w:shd w:val="clear" w:fill="142A4D"/>
          </w:tcPr>
          <w:p>
            <w:pPr>
              <w:pStyle w:val="Compact"/>
              <w:jc w:val="left"/>
            </w:pPr>
            <w:r>
              <w:rPr>
                <w:b/>
                <w:color w:val="FFFFFF"/>
              </w:rPr>
              <w:t xml:space="preserve">Question</w:t>
            </w:r>
          </w:p>
        </w:tc>
        <w:tc>
          <w:tcPr>
            <w:tcBorders>
              <w:bottom w:val="single"/>
            </w:tcBorders>
            <w:vAlign w:val="bottom"/>
            <w:tcW w:w="2600" w:type="pct"/>
            <w:tcBorders>
              <w:top w:val="single" w:sz="4" w:space="0" w:color="B9A66B"/>
              <w:left w:val="single" w:sz="4" w:space="0" w:color="B9A66B"/>
              <w:bottom w:val="single" w:sz="4" w:space="0" w:color="B9A66B"/>
              <w:right w:val="single" w:sz="4" w:space="0" w:color="B9A66B"/>
            </w:tcBorders>
            <w:shd w:val="clear" w:fill="142A4D"/>
          </w:tcPr>
          <w:p>
            <w:pPr>
              <w:pStyle w:val="Compact"/>
              <w:jc w:val="left"/>
            </w:pPr>
            <w:r>
              <w:rPr>
                <w:b/>
                <w:color w:val="FFFFFF"/>
              </w:rPr>
              <w:t xml:space="preserve">Answer approach</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81</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Is this too expensive?</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See Objection Handling 8.1.</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82</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Is EMI available?</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Yes typically — confirm current terms.</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83</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Are there scholarships?</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Confirm current policy; never promise unapproved discounts.</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84</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Are there hidden costs beyond the course fee?</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State all costs upfront and in writing (Code of Ethics 1.6).</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85</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Can I pay in installments without formal EMI?</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Confirm current centre policy.</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86</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What’s the refund policy if I withdraw?</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State the accurate, current policy in writing before enrolment.</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87</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Is the fee different for online vs. classroom?</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Confirm current fee sheet.</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88</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Do you offer corporate/bulk discounts?</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Route to Corporate Programs (4.10).</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89</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Can I get a fee waiver for financial hardship?</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Confirm current policy; don’t improvise.</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90</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Are exam/certification fees separate from tuition?</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Disclose clearly and in writing.</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91</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Does the fee include study material and lab supplies?</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Confirm and state clearly upfront.</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92</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Is there a registration fee separate from the course fee?</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Confirm and disclose accurately.</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93</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Can I get a fee breakdown in writing before deciding?</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Yes, always provide this proactively.</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94</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Do fees increase if I defer my start date?</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Confirm current policy on fee validity periods.</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95</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Are there fee differences between cities/centres?</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Confirm current centre-specific fee sheet.</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96</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Can family members get a combined discount?</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Confirm current policy; don’t improvise.</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97</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Is there a difference in cost for international students?</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Confirm accurately — often yes, due to additional logistics.</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98</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What payment methods are accepted?</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Confirm current accepted payment methods.</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99</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Can I pay the full fee upfront for a discount?</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Confirm if any officially approved early-payment benefit exists.</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100</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What happens to my payment if a batch is cancelled/rescheduled?</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State the accurate current policy clearly.</w:t>
            </w:r>
          </w:p>
        </w:tc>
      </w:tr>
    </w:tbl>
    <w:p>
      <w:pPr>
        <w:pStyle w:val="Heading2"/>
      </w:pPr>
      <w:bookmarkStart w:id="27" w:name="f.-family-approval-dynamics"/>
      <w:r>
        <w:t xml:space="preserve">F. Family &amp; Approval Dynamics</w:t>
      </w:r>
      <w:bookmarkEnd w:id="27"/>
    </w:p>
    <w:tbl>
      <w:tblPr>
        <w:tblStyle w:val="Table"/>
        <w:tblLook w:firstRow="1"/>
        <w:tblW w:w="5000" w:type="pct"/>
        <w:tblLayout w:type="fixed"/>
      </w:tblPr>
      <w:tblGrid>
        <w:gridCol w:w="2640"/>
        <w:gridCol w:w="2640"/>
        <w:gridCol w:w="2640"/>
      </w:tblGrid>
      <w:tr>
        <w:trPr>
          <w:cnfStyle w:firstRow="1"/>
          <w:tblHeader w:val="true"/>
        </w:trPr>
        <w:tc>
          <w:tcPr>
            <w:tcBorders>
              <w:bottom w:val="single"/>
            </w:tcBorders>
            <w:vAlign w:val="bottom"/>
            <w:tcW w:w="1200" w:type="pct"/>
            <w:tcBorders>
              <w:top w:val="single" w:sz="4" w:space="0" w:color="B9A66B"/>
              <w:left w:val="single" w:sz="4" w:space="0" w:color="B9A66B"/>
              <w:bottom w:val="single" w:sz="4" w:space="0" w:color="B9A66B"/>
              <w:right w:val="single" w:sz="4" w:space="0" w:color="B9A66B"/>
            </w:tcBorders>
            <w:shd w:val="clear" w:fill="142A4D"/>
          </w:tcPr>
          <w:p>
            <w:pPr>
              <w:pStyle w:val="Compact"/>
              <w:jc w:val="left"/>
            </w:pPr>
            <w:r>
              <w:rPr>
                <w:b/>
                <w:color w:val="FFFFFF"/>
              </w:rPr>
              <w:t xml:space="preserve">#</w:t>
            </w:r>
          </w:p>
        </w:tc>
        <w:tc>
          <w:tcPr>
            <w:tcBorders>
              <w:bottom w:val="single"/>
            </w:tcBorders>
            <w:vAlign w:val="bottom"/>
            <w:tcW w:w="1200" w:type="pct"/>
            <w:tcBorders>
              <w:top w:val="single" w:sz="4" w:space="0" w:color="B9A66B"/>
              <w:left w:val="single" w:sz="4" w:space="0" w:color="B9A66B"/>
              <w:bottom w:val="single" w:sz="4" w:space="0" w:color="B9A66B"/>
              <w:right w:val="single" w:sz="4" w:space="0" w:color="B9A66B"/>
            </w:tcBorders>
            <w:shd w:val="clear" w:fill="142A4D"/>
          </w:tcPr>
          <w:p>
            <w:pPr>
              <w:pStyle w:val="Compact"/>
              <w:jc w:val="left"/>
            </w:pPr>
            <w:r>
              <w:rPr>
                <w:b/>
                <w:color w:val="FFFFFF"/>
              </w:rPr>
              <w:t xml:space="preserve">Question</w:t>
            </w:r>
          </w:p>
        </w:tc>
        <w:tc>
          <w:tcPr>
            <w:tcBorders>
              <w:bottom w:val="single"/>
            </w:tcBorders>
            <w:vAlign w:val="bottom"/>
            <w:tcW w:w="2600" w:type="pct"/>
            <w:tcBorders>
              <w:top w:val="single" w:sz="4" w:space="0" w:color="B9A66B"/>
              <w:left w:val="single" w:sz="4" w:space="0" w:color="B9A66B"/>
              <w:bottom w:val="single" w:sz="4" w:space="0" w:color="B9A66B"/>
              <w:right w:val="single" w:sz="4" w:space="0" w:color="B9A66B"/>
            </w:tcBorders>
            <w:shd w:val="clear" w:fill="142A4D"/>
          </w:tcPr>
          <w:p>
            <w:pPr>
              <w:pStyle w:val="Compact"/>
              <w:jc w:val="left"/>
            </w:pPr>
            <w:r>
              <w:rPr>
                <w:b/>
                <w:color w:val="FFFFFF"/>
              </w:rPr>
              <w:t xml:space="preserve">Answer approach</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101</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My parents aren’t convinced — what do I tell them?</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Offer to speak with them directly (2.4, 10.4).</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102</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My spouse thinks this is risky — how do I address that?</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Offer a joint conversation (8.4).</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103</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My employer doesn’t know I’m exploring this — is that okay?</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Entirely normal; proceed at their pace.</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104</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How do I explain a career change to my family?</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Share realistic examples of successful career changers (2.3).</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105</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My parents want a</w:t>
            </w:r>
            <w:r>
              <w:t xml:space="preserve"> </w:t>
            </w:r>
            <w:r>
              <w:t xml:space="preserve">“</w:t>
            </w:r>
            <w:r>
              <w:t xml:space="preserve">safer</w:t>
            </w:r>
            <w:r>
              <w:t xml:space="preserve">”</w:t>
            </w:r>
            <w:r>
              <w:t xml:space="preserve"> </w:t>
            </w:r>
            <w:r>
              <w:t xml:space="preserve">degree instead — how do I respond?</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Validate the concern, provide factual legitimacy material (1.2, 6).</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106</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My in-laws are skeptical about this field for women — how do I handle this?</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Provide factual, respectful information about women’s real presence in the field (7.10 #63 equivalent).</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107</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My family wants to meet a counsellor in person before deciding — is that possible?</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Accommodate where feasible; this builds trust.</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108</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How do I bring up wanting to change careers to a traditional family?</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Suggest starting with genuine interest and real examples, not just financial arguments.</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109</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My parents worry this is</w:t>
            </w:r>
            <w:r>
              <w:t xml:space="preserve"> </w:t>
            </w:r>
            <w:r>
              <w:t xml:space="preserve">“</w:t>
            </w:r>
            <w:r>
              <w:t xml:space="preserve">just a phase</w:t>
            </w:r>
            <w:r>
              <w:t xml:space="preserve">”</w:t>
            </w:r>
            <w:r>
              <w:t xml:space="preserve"> </w:t>
            </w:r>
            <w:r>
              <w:t xml:space="preserve">— how do I prove commitment?</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Suggest starting with a lower-commitment course to demonstrate genuine interest first (3.6).</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110</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Can you help me prepare to talk to my family about this decision?</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Yes — offer written material and, if useful, a joint call.</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111</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My family is comparing this to a government job — how do I respond?</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Acknowledge the appeal of stability honestly, then present the realistic picture for this field (5).</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112</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Should I involve my family in every step of this decision?</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Encourage it where it’s culturally and personally appropriate — never discourage family involvement.</w:t>
            </w:r>
          </w:p>
        </w:tc>
      </w:tr>
    </w:tbl>
    <w:p>
      <w:r>
        <w:pict>
          <v:rect style="width:0;height:1.5pt" o:hralign="center" o:hrstd="t" o:hr="t"/>
        </w:pict>
      </w:r>
    </w:p>
    <w:p>
      <w:pPr>
        <w:pStyle w:val="FirstParagraph"/>
      </w:pPr>
      <w:r>
        <w:rPr>
          <w:i/>
        </w:rPr>
        <w:t xml:space="preserve">(Continued: Curriculum, Comparisons, International, Modern Concerns, Retail/Luxury, Entrepreneurship, Corporate, Certification, Alumni, and Miscellaneous — Parts 2 and 3.)</w:t>
      </w:r>
      <w:r>
        <w:t xml:space="preserve"> </w:t>
      </w:r>
    </w:p>
    <w:p>
      <w:pPr>
        <w:pStyle w:val="Heading2"/>
      </w:pPr>
      <w:bookmarkStart w:id="28" w:name="g.-curriculum-technical-content"/>
      <w:r>
        <w:t xml:space="preserve">G. Curriculum &amp; Technical Content</w:t>
      </w:r>
      <w:bookmarkEnd w:id="28"/>
    </w:p>
    <w:tbl>
      <w:tblPr>
        <w:tblStyle w:val="Table"/>
        <w:tblLook w:firstRow="1"/>
        <w:tblW w:w="5000" w:type="pct"/>
        <w:tblLayout w:type="fixed"/>
      </w:tblPr>
      <w:tblGrid>
        <w:gridCol w:w="2640"/>
        <w:gridCol w:w="2640"/>
        <w:gridCol w:w="2640"/>
      </w:tblGrid>
      <w:tr>
        <w:trPr>
          <w:cnfStyle w:firstRow="1"/>
          <w:tblHeader w:val="true"/>
        </w:trPr>
        <w:tc>
          <w:tcPr>
            <w:tcBorders>
              <w:bottom w:val="single"/>
            </w:tcBorders>
            <w:vAlign w:val="bottom"/>
            <w:tcW w:w="1200" w:type="pct"/>
            <w:tcBorders>
              <w:top w:val="single" w:sz="4" w:space="0" w:color="B9A66B"/>
              <w:left w:val="single" w:sz="4" w:space="0" w:color="B9A66B"/>
              <w:bottom w:val="single" w:sz="4" w:space="0" w:color="B9A66B"/>
              <w:right w:val="single" w:sz="4" w:space="0" w:color="B9A66B"/>
            </w:tcBorders>
            <w:shd w:val="clear" w:fill="142A4D"/>
          </w:tcPr>
          <w:p>
            <w:pPr>
              <w:pStyle w:val="Compact"/>
              <w:jc w:val="left"/>
            </w:pPr>
            <w:r>
              <w:rPr>
                <w:b/>
                <w:color w:val="FFFFFF"/>
              </w:rPr>
              <w:t xml:space="preserve">#</w:t>
            </w:r>
          </w:p>
        </w:tc>
        <w:tc>
          <w:tcPr>
            <w:tcBorders>
              <w:bottom w:val="single"/>
            </w:tcBorders>
            <w:vAlign w:val="bottom"/>
            <w:tcW w:w="1200" w:type="pct"/>
            <w:tcBorders>
              <w:top w:val="single" w:sz="4" w:space="0" w:color="B9A66B"/>
              <w:left w:val="single" w:sz="4" w:space="0" w:color="B9A66B"/>
              <w:bottom w:val="single" w:sz="4" w:space="0" w:color="B9A66B"/>
              <w:right w:val="single" w:sz="4" w:space="0" w:color="B9A66B"/>
            </w:tcBorders>
            <w:shd w:val="clear" w:fill="142A4D"/>
          </w:tcPr>
          <w:p>
            <w:pPr>
              <w:pStyle w:val="Compact"/>
              <w:jc w:val="left"/>
            </w:pPr>
            <w:r>
              <w:rPr>
                <w:b/>
                <w:color w:val="FFFFFF"/>
              </w:rPr>
              <w:t xml:space="preserve">Question</w:t>
            </w:r>
          </w:p>
        </w:tc>
        <w:tc>
          <w:tcPr>
            <w:tcBorders>
              <w:bottom w:val="single"/>
            </w:tcBorders>
            <w:vAlign w:val="bottom"/>
            <w:tcW w:w="2600" w:type="pct"/>
            <w:tcBorders>
              <w:top w:val="single" w:sz="4" w:space="0" w:color="B9A66B"/>
              <w:left w:val="single" w:sz="4" w:space="0" w:color="B9A66B"/>
              <w:bottom w:val="single" w:sz="4" w:space="0" w:color="B9A66B"/>
              <w:right w:val="single" w:sz="4" w:space="0" w:color="B9A66B"/>
            </w:tcBorders>
            <w:shd w:val="clear" w:fill="142A4D"/>
          </w:tcPr>
          <w:p>
            <w:pPr>
              <w:pStyle w:val="Compact"/>
              <w:jc w:val="left"/>
            </w:pPr>
            <w:r>
              <w:rPr>
                <w:b/>
                <w:color w:val="FFFFFF"/>
              </w:rPr>
              <w:t xml:space="preserve">Answer approach</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113</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Do you cover lab-grown diamonds?</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Yes — modern curricula include natural and lab-grown identification (12).</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114</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Do you cover treatments and enhancements?</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Yes, across diamond and colored stone curricula.</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115</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Will I learn to use grading instruments myself?</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Yes, hands-on instrument use is core to practical components.</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116</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Is the curriculum updated for current market trends?</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Periodically reviewed to reflect developments like lab-grown diamonds (12.10).</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117</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Do you teach pearls and other organic gems?</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Covered within the broader Graduate Gemologist curriculum.</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118</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Will I learn appraisal/valuation, or just grading?</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Grading/identification is the technical foundation; appraisal judgment develops with experience (5.11).</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119</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Do you teach how to spot synthetic stones specifically?</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Yes, synthetic/simulant detection is core to grading curricula.</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120</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Is there a practical exam, or only written?</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Confirm current exam structure; most credential courses include practical assessment.</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121</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Do you cover international grading systems (not just IGI’s own)?</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Curricula generally reference internationally recognized grading frameworks.</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122</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Will I learn about diamond origin/traceability?</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Ethical sourcing and traceability are covered conversationally within the broader curriculum (12.5).</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123</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Do you teach jewellery repair or only grading/design?</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Confirm scope accurately — most courses focus on grading or design, not repair specifically.</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124</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Is CAD software taught as part of JewelPad?</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JewelPad focuses on tablet-based digital illustration; confirm if CAD software is separately covered.</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125</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Do you teach photography of gemstones/jewellery?</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Confirm current curriculum scope; not a standard core module unless specified.</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126</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Will I understand pricing/valuation math, not just identification?</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Valuation judgment builds with applied experience after the technical foundation (5.11).</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127</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Is there a research project or thesis component?</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Confirm current course structure; typically practical/exam-based rather than thesis-based.</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128</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Do you cover the business side of running a jewellery store?</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Retail Training Programs cover this more than the technical grading courses (4.9).</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129</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Will I learn about auction house valuation specifically?</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Foundational grading skills support this; auction-specific practice builds with FGA/Gem-A pathway and experience (5.9).</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130</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Is sustainability/ethical sourcing part of the curriculum?</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Covered conversationally as an increasingly important market trend (12.10).</w:t>
            </w:r>
          </w:p>
        </w:tc>
      </w:tr>
    </w:tbl>
    <w:p>
      <w:pPr>
        <w:pStyle w:val="Heading2"/>
      </w:pPr>
      <w:bookmarkStart w:id="29" w:name="h.-course-to-course-comparisons"/>
      <w:r>
        <w:t xml:space="preserve">H. Course-to-Course Comparisons</w:t>
      </w:r>
      <w:bookmarkEnd w:id="29"/>
    </w:p>
    <w:tbl>
      <w:tblPr>
        <w:tblStyle w:val="Table"/>
        <w:tblLook w:firstRow="1"/>
        <w:tblW w:w="5000" w:type="pct"/>
        <w:tblLayout w:type="fixed"/>
      </w:tblPr>
      <w:tblGrid>
        <w:gridCol w:w="2640"/>
        <w:gridCol w:w="2640"/>
        <w:gridCol w:w="2640"/>
      </w:tblGrid>
      <w:tr>
        <w:trPr>
          <w:cnfStyle w:firstRow="1"/>
          <w:tblHeader w:val="true"/>
        </w:trPr>
        <w:tc>
          <w:tcPr>
            <w:tcBorders>
              <w:bottom w:val="single"/>
            </w:tcBorders>
            <w:vAlign w:val="bottom"/>
            <w:tcW w:w="1200" w:type="pct"/>
            <w:tcBorders>
              <w:top w:val="single" w:sz="4" w:space="0" w:color="B9A66B"/>
              <w:left w:val="single" w:sz="4" w:space="0" w:color="B9A66B"/>
              <w:bottom w:val="single" w:sz="4" w:space="0" w:color="B9A66B"/>
              <w:right w:val="single" w:sz="4" w:space="0" w:color="B9A66B"/>
            </w:tcBorders>
            <w:shd w:val="clear" w:fill="142A4D"/>
          </w:tcPr>
          <w:p>
            <w:pPr>
              <w:pStyle w:val="Compact"/>
              <w:jc w:val="left"/>
            </w:pPr>
            <w:r>
              <w:rPr>
                <w:b/>
                <w:color w:val="FFFFFF"/>
              </w:rPr>
              <w:t xml:space="preserve">#</w:t>
            </w:r>
          </w:p>
        </w:tc>
        <w:tc>
          <w:tcPr>
            <w:tcBorders>
              <w:bottom w:val="single"/>
            </w:tcBorders>
            <w:vAlign w:val="bottom"/>
            <w:tcW w:w="1200" w:type="pct"/>
            <w:tcBorders>
              <w:top w:val="single" w:sz="4" w:space="0" w:color="B9A66B"/>
              <w:left w:val="single" w:sz="4" w:space="0" w:color="B9A66B"/>
              <w:bottom w:val="single" w:sz="4" w:space="0" w:color="B9A66B"/>
              <w:right w:val="single" w:sz="4" w:space="0" w:color="B9A66B"/>
            </w:tcBorders>
            <w:shd w:val="clear" w:fill="142A4D"/>
          </w:tcPr>
          <w:p>
            <w:pPr>
              <w:pStyle w:val="Compact"/>
              <w:jc w:val="left"/>
            </w:pPr>
            <w:r>
              <w:rPr>
                <w:b/>
                <w:color w:val="FFFFFF"/>
              </w:rPr>
              <w:t xml:space="preserve">Question</w:t>
            </w:r>
          </w:p>
        </w:tc>
        <w:tc>
          <w:tcPr>
            <w:tcBorders>
              <w:bottom w:val="single"/>
            </w:tcBorders>
            <w:vAlign w:val="bottom"/>
            <w:tcW w:w="2600" w:type="pct"/>
            <w:tcBorders>
              <w:top w:val="single" w:sz="4" w:space="0" w:color="B9A66B"/>
              <w:left w:val="single" w:sz="4" w:space="0" w:color="B9A66B"/>
              <w:bottom w:val="single" w:sz="4" w:space="0" w:color="B9A66B"/>
              <w:right w:val="single" w:sz="4" w:space="0" w:color="B9A66B"/>
            </w:tcBorders>
            <w:shd w:val="clear" w:fill="142A4D"/>
          </w:tcPr>
          <w:p>
            <w:pPr>
              <w:pStyle w:val="Compact"/>
              <w:jc w:val="left"/>
            </w:pPr>
            <w:r>
              <w:rPr>
                <w:b/>
                <w:color w:val="FFFFFF"/>
              </w:rPr>
              <w:t xml:space="preserve">Answer approach</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131</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What’s the difference between Diamond Graduate and Graduate Gemologist?</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GG = DG + full colored stone training (4.1, 4.2).</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132</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Should I start with Diamond Essentials or go straight to Diamond Graduate?</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Depends on confidence/budget (3.6, 4.5).</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133</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Is JewelPad a substitute for a full gemology diploma?</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No — distinct design specialization (4.6).</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134</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What’s the difference between Gem-A pathway and IGI’s own diploma?</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Different international frameworks, different strengths by geography (6.4).</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135</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Can I do DG and CSG separately instead of GG?</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Often yes, sequentially — confirm current policy (3.6).</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136</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What’s the difference between Polished Diamond Course and Diamond Grading Essentials?</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Both are focused/shorter formats; confirm current scope differences per centre.</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137</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Is Retail Training Programs a substitute for a gemology diploma?</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No — a sales/service skill track, not a grading credential (4.9).</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138</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Should I do Gem-A Foundation or Diamond Essentials first?</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Depends on whether the international Gem-A pathway or IGI’s own track is the target (4.5, 4.7).</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139</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What’s the difference between Corporate Programs and individual enrolment?</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Corporate Programs are organization-scoped, not individual (4.10).</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140</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If I already did Diamond Essentials, can it count toward Diamond Graduate?</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Confirm current credit/pathway policy; don’t assume automatic credit.</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141</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Is Gem-A Diploma harder than Graduate Gemologist?</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Different frameworks and depth — not directly comparable difficulty-wise (4.7, 4.8).</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142</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Which course is best if I want both grading AND design skills?</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Consider Graduate Gemologist plus JewelPad as a combined pathway (4.1, 4.6).</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143</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Is there a combined Diamond + Retail course?</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Not typically bundled by default; discuss pairing GG/DG with Retail Training (4.9).</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144</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What’s the fastest course to a paying job?</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Depends on career family — see Section 5 stage tables per track.</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145</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Which course has the best ROI?</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Depends entirely on the individual’s career objective — use the Decision Matrix (3.8), not a generic ranking.</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146</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Can I</w:t>
            </w:r>
            <w:r>
              <w:t xml:space="preserve"> </w:t>
            </w:r>
            <w:r>
              <w:t xml:space="preserve">“</w:t>
            </w:r>
            <w:r>
              <w:t xml:space="preserve">test</w:t>
            </w:r>
            <w:r>
              <w:t xml:space="preserve">”</w:t>
            </w:r>
            <w:r>
              <w:t xml:space="preserve"> </w:t>
            </w:r>
            <w:r>
              <w:t xml:space="preserve">a course before committing to the full fee?</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Diamond Essentials or short-course formats serve this purpose honestly (4.5).</w:t>
            </w:r>
          </w:p>
        </w:tc>
      </w:tr>
    </w:tbl>
    <w:p>
      <w:pPr>
        <w:pStyle w:val="Heading2"/>
      </w:pPr>
      <w:bookmarkStart w:id="30" w:name="Xd107cdce28af8e359ca414b5e88983d7dc9dc3f"/>
      <w:r>
        <w:t xml:space="preserve">I. International Students &amp; Global Recognition</w:t>
      </w:r>
      <w:bookmarkEnd w:id="30"/>
    </w:p>
    <w:tbl>
      <w:tblPr>
        <w:tblStyle w:val="Table"/>
        <w:tblLook w:firstRow="1"/>
        <w:tblW w:w="5000" w:type="pct"/>
        <w:tblLayout w:type="fixed"/>
      </w:tblPr>
      <w:tblGrid>
        <w:gridCol w:w="2640"/>
        <w:gridCol w:w="2640"/>
        <w:gridCol w:w="2640"/>
      </w:tblGrid>
      <w:tr>
        <w:trPr>
          <w:cnfStyle w:firstRow="1"/>
          <w:tblHeader w:val="true"/>
        </w:trPr>
        <w:tc>
          <w:tcPr>
            <w:tcBorders>
              <w:bottom w:val="single"/>
            </w:tcBorders>
            <w:vAlign w:val="bottom"/>
            <w:tcW w:w="1200" w:type="pct"/>
            <w:tcBorders>
              <w:top w:val="single" w:sz="4" w:space="0" w:color="B9A66B"/>
              <w:left w:val="single" w:sz="4" w:space="0" w:color="B9A66B"/>
              <w:bottom w:val="single" w:sz="4" w:space="0" w:color="B9A66B"/>
              <w:right w:val="single" w:sz="4" w:space="0" w:color="B9A66B"/>
            </w:tcBorders>
            <w:shd w:val="clear" w:fill="142A4D"/>
          </w:tcPr>
          <w:p>
            <w:pPr>
              <w:pStyle w:val="Compact"/>
              <w:jc w:val="left"/>
            </w:pPr>
            <w:r>
              <w:rPr>
                <w:b/>
                <w:color w:val="FFFFFF"/>
              </w:rPr>
              <w:t xml:space="preserve">#</w:t>
            </w:r>
          </w:p>
        </w:tc>
        <w:tc>
          <w:tcPr>
            <w:tcBorders>
              <w:bottom w:val="single"/>
            </w:tcBorders>
            <w:vAlign w:val="bottom"/>
            <w:tcW w:w="1200" w:type="pct"/>
            <w:tcBorders>
              <w:top w:val="single" w:sz="4" w:space="0" w:color="B9A66B"/>
              <w:left w:val="single" w:sz="4" w:space="0" w:color="B9A66B"/>
              <w:bottom w:val="single" w:sz="4" w:space="0" w:color="B9A66B"/>
              <w:right w:val="single" w:sz="4" w:space="0" w:color="B9A66B"/>
            </w:tcBorders>
            <w:shd w:val="clear" w:fill="142A4D"/>
          </w:tcPr>
          <w:p>
            <w:pPr>
              <w:pStyle w:val="Compact"/>
              <w:jc w:val="left"/>
            </w:pPr>
            <w:r>
              <w:rPr>
                <w:b/>
                <w:color w:val="FFFFFF"/>
              </w:rPr>
              <w:t xml:space="preserve">Question</w:t>
            </w:r>
          </w:p>
        </w:tc>
        <w:tc>
          <w:tcPr>
            <w:tcBorders>
              <w:bottom w:val="single"/>
            </w:tcBorders>
            <w:vAlign w:val="bottom"/>
            <w:tcW w:w="2600" w:type="pct"/>
            <w:tcBorders>
              <w:top w:val="single" w:sz="4" w:space="0" w:color="B9A66B"/>
              <w:left w:val="single" w:sz="4" w:space="0" w:color="B9A66B"/>
              <w:bottom w:val="single" w:sz="4" w:space="0" w:color="B9A66B"/>
              <w:right w:val="single" w:sz="4" w:space="0" w:color="B9A66B"/>
            </w:tcBorders>
            <w:shd w:val="clear" w:fill="142A4D"/>
          </w:tcPr>
          <w:p>
            <w:pPr>
              <w:pStyle w:val="Compact"/>
              <w:jc w:val="left"/>
            </w:pPr>
            <w:r>
              <w:rPr>
                <w:b/>
                <w:color w:val="FFFFFF"/>
              </w:rPr>
              <w:t xml:space="preserve">Answer approach</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147</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Will this be recognized in my home country?</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Depends on country/segment — give a specific answer (5.14).</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148</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Do you help with visa or accommodation logistics?</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Describe genuinely available support; don’t overstate institutional involvement.</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149</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Is India a credible place to study gemology internationally?</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Yes — India/Surat is a major global diamond hub (12.5).</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150</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How do I know the total cost including travel and stay?</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Proactively provide full cost-of-attendance breakdown (2.8).</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151</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Can international students study online instead of relocating?</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Confirm current online eligibility for international students.</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152</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Will my qualification be honored if I move to a third country later?</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Depends on that country’s specific recognition norms — be specific, escalate if unsure.</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153</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Do you provide any documentation for student visa applications?</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Describe accurately what documentation is genuinely provided.</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154</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Is there an alumni network for international students specifically?</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Describe accurately what exists; don’t invent unearned benefits.</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155</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Can my family visit me during the course?</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Not an institutional matter — general visitor visa rules apply; direct to relevant authorities.</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156</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Are there language support services for non-English speakers?</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Confirm what genuinely exists per centre.</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157</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How does IGI’s India presence compare to studying in Antwerp or the US?</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India/Surat offers strong cutting/trading-hub-adjacent practical exposure; be factual about relative strengths (12.5).</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158</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Is the certificate issued in English, and will that be accepted internationally?</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Confirm current documentation language/format.</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159</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Can I transfer between IGI centres in different countries mid-course?</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Confirm current cross-border transfer policy.</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160</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Will I need a translated transcript for my home country?</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Confirm current documentation options; escalate if uncertain.</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161</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Is the Gem-A pathway more internationally portable than IGI’s own diploma?</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For specific segments (auction/Western trade), yes — be specific (6.4).</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162</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How long can I stay in India on a student visa for this course?</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Direct to current visa authority guidance; don’t offer visa legal advice.</w:t>
            </w:r>
          </w:p>
        </w:tc>
      </w:tr>
    </w:tbl>
    <w:p>
      <w:pPr>
        <w:pStyle w:val="Heading2"/>
      </w:pPr>
      <w:bookmarkStart w:id="31" w:name="j.-lab-grown-ai-modern-industry-concerns"/>
      <w:r>
        <w:t xml:space="preserve">J. Lab-Grown, AI &amp; Modern Industry Concerns</w:t>
      </w:r>
      <w:bookmarkEnd w:id="31"/>
    </w:p>
    <w:tbl>
      <w:tblPr>
        <w:tblStyle w:val="Table"/>
        <w:tblLook w:firstRow="1"/>
        <w:tblW w:w="5000" w:type="pct"/>
        <w:tblLayout w:type="fixed"/>
      </w:tblPr>
      <w:tblGrid>
        <w:gridCol w:w="2640"/>
        <w:gridCol w:w="2640"/>
        <w:gridCol w:w="2640"/>
      </w:tblGrid>
      <w:tr>
        <w:trPr>
          <w:cnfStyle w:firstRow="1"/>
          <w:tblHeader w:val="true"/>
        </w:trPr>
        <w:tc>
          <w:tcPr>
            <w:tcBorders>
              <w:bottom w:val="single"/>
            </w:tcBorders>
            <w:vAlign w:val="bottom"/>
            <w:tcW w:w="1200" w:type="pct"/>
            <w:tcBorders>
              <w:top w:val="single" w:sz="4" w:space="0" w:color="B9A66B"/>
              <w:left w:val="single" w:sz="4" w:space="0" w:color="B9A66B"/>
              <w:bottom w:val="single" w:sz="4" w:space="0" w:color="B9A66B"/>
              <w:right w:val="single" w:sz="4" w:space="0" w:color="B9A66B"/>
            </w:tcBorders>
            <w:shd w:val="clear" w:fill="142A4D"/>
          </w:tcPr>
          <w:p>
            <w:pPr>
              <w:pStyle w:val="Compact"/>
              <w:jc w:val="left"/>
            </w:pPr>
            <w:r>
              <w:rPr>
                <w:b/>
                <w:color w:val="FFFFFF"/>
              </w:rPr>
              <w:t xml:space="preserve">#</w:t>
            </w:r>
          </w:p>
        </w:tc>
        <w:tc>
          <w:tcPr>
            <w:tcBorders>
              <w:bottom w:val="single"/>
            </w:tcBorders>
            <w:vAlign w:val="bottom"/>
            <w:tcW w:w="1200" w:type="pct"/>
            <w:tcBorders>
              <w:top w:val="single" w:sz="4" w:space="0" w:color="B9A66B"/>
              <w:left w:val="single" w:sz="4" w:space="0" w:color="B9A66B"/>
              <w:bottom w:val="single" w:sz="4" w:space="0" w:color="B9A66B"/>
              <w:right w:val="single" w:sz="4" w:space="0" w:color="B9A66B"/>
            </w:tcBorders>
            <w:shd w:val="clear" w:fill="142A4D"/>
          </w:tcPr>
          <w:p>
            <w:pPr>
              <w:pStyle w:val="Compact"/>
              <w:jc w:val="left"/>
            </w:pPr>
            <w:r>
              <w:rPr>
                <w:b/>
                <w:color w:val="FFFFFF"/>
              </w:rPr>
              <w:t xml:space="preserve">Question</w:t>
            </w:r>
          </w:p>
        </w:tc>
        <w:tc>
          <w:tcPr>
            <w:tcBorders>
              <w:bottom w:val="single"/>
            </w:tcBorders>
            <w:vAlign w:val="bottom"/>
            <w:tcW w:w="2600" w:type="pct"/>
            <w:tcBorders>
              <w:top w:val="single" w:sz="4" w:space="0" w:color="B9A66B"/>
              <w:left w:val="single" w:sz="4" w:space="0" w:color="B9A66B"/>
              <w:bottom w:val="single" w:sz="4" w:space="0" w:color="B9A66B"/>
              <w:right w:val="single" w:sz="4" w:space="0" w:color="B9A66B"/>
            </w:tcBorders>
            <w:shd w:val="clear" w:fill="142A4D"/>
          </w:tcPr>
          <w:p>
            <w:pPr>
              <w:pStyle w:val="Compact"/>
              <w:jc w:val="left"/>
            </w:pPr>
            <w:r>
              <w:rPr>
                <w:b/>
                <w:color w:val="FFFFFF"/>
              </w:rPr>
              <w:t xml:space="preserve">Answer approach</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163</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Is the diamond industry shrinking because of lab-grown diamonds?</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Evolving, not shrinking — new specialization demand (12.3, 12.10).</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164</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Will AI replace gemmologists?</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Assists with data; human judgment and trade relationships remain central (7.10).</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165</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Are lab-grown diamonds</w:t>
            </w:r>
            <w:r>
              <w:t xml:space="preserve"> </w:t>
            </w:r>
            <w:r>
              <w:t xml:space="preserve">“</w:t>
            </w:r>
            <w:r>
              <w:t xml:space="preserve">fake</w:t>
            </w:r>
            <w:r>
              <w:t xml:space="preserve">”</w:t>
            </w:r>
            <w:r>
              <w:t xml:space="preserve">?</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No — chemically real diamonds grown via HPHT/CVD, a distinct legitimate category (12.3).</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166</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Is it worth specializing in lab-grown identification specifically?</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Yes, given growing market demand for confident natural-vs-lab-grown distinction (12.3).</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167</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Will blockchain/traceability tech replace human graders?</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Supports transparency; doesn’t replace trained human grading judgment.</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168</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Are gemology jobs at risk from automation generally?</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Automation assists data-heavy tasks; human judgment and client trust remain central (12).</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169</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Is investing in this field risky given so much technological change?</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Reasonable question — frame honestly: the trade is evolving, not disappearing (12.10).</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170</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How is the industry responding to lab-grown price drops?</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Market segmentation is increasing (natural vs. lab-grown as distinct categories) rather than one replacing the other.</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171</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Do I need separate training for lab-grown vs. natural diamonds?</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Modern curricula integrate both within the same course (12.3, 7.10).</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172</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Is there a growing market specifically for lab-grown jewellery?</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Yes, a distinct and growing consumer segment (12.10).</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173</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Should I specialize only in natural stones to future-proof my career?</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Not necessarily — competence in both categories is increasingly valuable (12.3).</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174</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How do treatments and lab-grown identification overlap?</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Both require instrument-based, trained detection skills — related but distinct competencies (12.1-12.3).</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175</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Is sustainability becoming more important to buyers?</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Yes, a genuine and growing market trend (12.10).</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176</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Will this field still exist in 20 years?</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The trade has adapted through many technological shifts already; frame honestly as evolving, not static or disappearing.</w:t>
            </w:r>
          </w:p>
        </w:tc>
      </w:tr>
    </w:tbl>
    <w:p>
      <w:pPr>
        <w:pStyle w:val="Heading2"/>
      </w:pPr>
      <w:bookmarkStart w:id="32" w:name="k.-retail-luxury-careers"/>
      <w:r>
        <w:t xml:space="preserve">K. Retail &amp; Luxury Careers</w:t>
      </w:r>
      <w:bookmarkEnd w:id="32"/>
    </w:p>
    <w:tbl>
      <w:tblPr>
        <w:tblStyle w:val="Table"/>
        <w:tblLook w:firstRow="1"/>
        <w:tblW w:w="5000" w:type="pct"/>
        <w:tblLayout w:type="fixed"/>
      </w:tblPr>
      <w:tblGrid>
        <w:gridCol w:w="2640"/>
        <w:gridCol w:w="2640"/>
        <w:gridCol w:w="2640"/>
      </w:tblGrid>
      <w:tr>
        <w:trPr>
          <w:cnfStyle w:firstRow="1"/>
          <w:tblHeader w:val="true"/>
        </w:trPr>
        <w:tc>
          <w:tcPr>
            <w:tcBorders>
              <w:bottom w:val="single"/>
            </w:tcBorders>
            <w:vAlign w:val="bottom"/>
            <w:tcW w:w="1200" w:type="pct"/>
            <w:tcBorders>
              <w:top w:val="single" w:sz="4" w:space="0" w:color="B9A66B"/>
              <w:left w:val="single" w:sz="4" w:space="0" w:color="B9A66B"/>
              <w:bottom w:val="single" w:sz="4" w:space="0" w:color="B9A66B"/>
              <w:right w:val="single" w:sz="4" w:space="0" w:color="B9A66B"/>
            </w:tcBorders>
            <w:shd w:val="clear" w:fill="142A4D"/>
          </w:tcPr>
          <w:p>
            <w:pPr>
              <w:pStyle w:val="Compact"/>
              <w:jc w:val="left"/>
            </w:pPr>
            <w:r>
              <w:rPr>
                <w:b/>
                <w:color w:val="FFFFFF"/>
              </w:rPr>
              <w:t xml:space="preserve">#</w:t>
            </w:r>
          </w:p>
        </w:tc>
        <w:tc>
          <w:tcPr>
            <w:tcBorders>
              <w:bottom w:val="single"/>
            </w:tcBorders>
            <w:vAlign w:val="bottom"/>
            <w:tcW w:w="1200" w:type="pct"/>
            <w:tcBorders>
              <w:top w:val="single" w:sz="4" w:space="0" w:color="B9A66B"/>
              <w:left w:val="single" w:sz="4" w:space="0" w:color="B9A66B"/>
              <w:bottom w:val="single" w:sz="4" w:space="0" w:color="B9A66B"/>
              <w:right w:val="single" w:sz="4" w:space="0" w:color="B9A66B"/>
            </w:tcBorders>
            <w:shd w:val="clear" w:fill="142A4D"/>
          </w:tcPr>
          <w:p>
            <w:pPr>
              <w:pStyle w:val="Compact"/>
              <w:jc w:val="left"/>
            </w:pPr>
            <w:r>
              <w:rPr>
                <w:b/>
                <w:color w:val="FFFFFF"/>
              </w:rPr>
              <w:t xml:space="preserve">Question</w:t>
            </w:r>
          </w:p>
        </w:tc>
        <w:tc>
          <w:tcPr>
            <w:tcBorders>
              <w:bottom w:val="single"/>
            </w:tcBorders>
            <w:vAlign w:val="bottom"/>
            <w:tcW w:w="2600" w:type="pct"/>
            <w:tcBorders>
              <w:top w:val="single" w:sz="4" w:space="0" w:color="B9A66B"/>
              <w:left w:val="single" w:sz="4" w:space="0" w:color="B9A66B"/>
              <w:bottom w:val="single" w:sz="4" w:space="0" w:color="B9A66B"/>
              <w:right w:val="single" w:sz="4" w:space="0" w:color="B9A66B"/>
            </w:tcBorders>
            <w:shd w:val="clear" w:fill="142A4D"/>
          </w:tcPr>
          <w:p>
            <w:pPr>
              <w:pStyle w:val="Compact"/>
              <w:jc w:val="left"/>
            </w:pPr>
            <w:r>
              <w:rPr>
                <w:b/>
                <w:color w:val="FFFFFF"/>
              </w:rPr>
              <w:t xml:space="preserve">Answer approach</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177</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Will this actually get me a job at a luxury brand like Cartier or Tiffany?</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Builds real product credibility; luxury houses also weight client-facing polish heavily (5.4, Role Play 9).</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178</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Do I need a diploma to work in retail?</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No, though pairing with Retail Training strengthens a retail career (7.7 equivalent).</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179</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What’s the fastest path into luxury retail?</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Graduate Gemologist + Retail Training Programs (5.4).</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180</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Is retail a</w:t>
            </w:r>
            <w:r>
              <w:t xml:space="preserve"> </w:t>
            </w:r>
            <w:r>
              <w:t xml:space="preserve">“</w:t>
            </w:r>
            <w:r>
              <w:t xml:space="preserve">lesser</w:t>
            </w:r>
            <w:r>
              <w:t xml:space="preserve">”</w:t>
            </w:r>
            <w:r>
              <w:t xml:space="preserve"> </w:t>
            </w:r>
            <w:r>
              <w:t xml:space="preserve">career than laboratory work?</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No — a legitimate, distinct career family with its own growth path (5.3).</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181</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Can I move from mall retail to a luxury boutique?</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Yes, with the right combination of credential and client-facing experience (5.4).</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182</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Do luxury brands prefer IGI, GIA, or Gem-A credentials?</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Varies by brand and market; be honest that credential is one input among several (6.4).</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183</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What soft skills matter most for luxury retail?</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Client-facing polish, language skills, and product knowledge together (5.4).</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184</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Can I combine JewelPad with a retail career?</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Yes — design literacy is a genuine asset in retail/merchandising conversations.</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185</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Is merchandising a good fit for someone who likes both business and stones?</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Yes — see Section 5.5 for the specific career path.</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186</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How long does it typically take to reach a store manager role?</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Varies by individual performance; see Section 5.3 stage table for typical patterns.</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187</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Do I need sales experience before starting a retail-focused course?</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No — Retail Training Programs are designed to build this from foundational level (4.9).</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188</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Is luxury retail a stable career, or mostly commission-based risk?</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Often salaried plus incentive — describe honestly per Section 5.4.</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189</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Can retail experience help me move into buying/merchandising later?</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Yes, this is a common and realistic progression (5.5).</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190</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What’s the difference between a boutique client advisor and a mall sales associate?</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Different scale and clientele, similar underlying skill foundation — see Section 5.3-5.4.</w:t>
            </w:r>
          </w:p>
        </w:tc>
      </w:tr>
    </w:tbl>
    <w:p>
      <w:r>
        <w:pict>
          <v:rect style="width:0;height:1.5pt" o:hralign="center" o:hrstd="t" o:hr="t"/>
        </w:pict>
      </w:r>
    </w:p>
    <w:p>
      <w:pPr>
        <w:pStyle w:val="FirstParagraph"/>
      </w:pPr>
      <w:r>
        <w:rPr>
          <w:i/>
        </w:rPr>
        <w:t xml:space="preserve">(Continued: Entrepreneurship, Corporate, Certification, Alumni, and Miscellaneous — Part 3.)</w:t>
      </w:r>
      <w:r>
        <w:t xml:space="preserve"> </w:t>
      </w:r>
    </w:p>
    <w:p>
      <w:pPr>
        <w:pStyle w:val="Heading2"/>
      </w:pPr>
      <w:bookmarkStart w:id="33" w:name="l.-entrepreneurship-business"/>
      <w:r>
        <w:t xml:space="preserve">L. Entrepreneurship &amp; Business</w:t>
      </w:r>
      <w:bookmarkEnd w:id="33"/>
    </w:p>
    <w:tbl>
      <w:tblPr>
        <w:tblStyle w:val="Table"/>
        <w:tblLook w:firstRow="1"/>
        <w:tblW w:w="5000" w:type="pct"/>
        <w:tblLayout w:type="fixed"/>
      </w:tblPr>
      <w:tblGrid>
        <w:gridCol w:w="2640"/>
        <w:gridCol w:w="2640"/>
        <w:gridCol w:w="2640"/>
      </w:tblGrid>
      <w:tr>
        <w:trPr>
          <w:cnfStyle w:firstRow="1"/>
          <w:tblHeader w:val="true"/>
        </w:trPr>
        <w:tc>
          <w:tcPr>
            <w:tcBorders>
              <w:bottom w:val="single"/>
            </w:tcBorders>
            <w:vAlign w:val="bottom"/>
            <w:tcW w:w="1200" w:type="pct"/>
            <w:tcBorders>
              <w:top w:val="single" w:sz="4" w:space="0" w:color="B9A66B"/>
              <w:left w:val="single" w:sz="4" w:space="0" w:color="B9A66B"/>
              <w:bottom w:val="single" w:sz="4" w:space="0" w:color="B9A66B"/>
              <w:right w:val="single" w:sz="4" w:space="0" w:color="B9A66B"/>
            </w:tcBorders>
            <w:shd w:val="clear" w:fill="142A4D"/>
          </w:tcPr>
          <w:p>
            <w:pPr>
              <w:pStyle w:val="Compact"/>
              <w:jc w:val="left"/>
            </w:pPr>
            <w:r>
              <w:rPr>
                <w:b/>
                <w:color w:val="FFFFFF"/>
              </w:rPr>
              <w:t xml:space="preserve">#</w:t>
            </w:r>
          </w:p>
        </w:tc>
        <w:tc>
          <w:tcPr>
            <w:tcBorders>
              <w:bottom w:val="single"/>
            </w:tcBorders>
            <w:vAlign w:val="bottom"/>
            <w:tcW w:w="1200" w:type="pct"/>
            <w:tcBorders>
              <w:top w:val="single" w:sz="4" w:space="0" w:color="B9A66B"/>
              <w:left w:val="single" w:sz="4" w:space="0" w:color="B9A66B"/>
              <w:bottom w:val="single" w:sz="4" w:space="0" w:color="B9A66B"/>
              <w:right w:val="single" w:sz="4" w:space="0" w:color="B9A66B"/>
            </w:tcBorders>
            <w:shd w:val="clear" w:fill="142A4D"/>
          </w:tcPr>
          <w:p>
            <w:pPr>
              <w:pStyle w:val="Compact"/>
              <w:jc w:val="left"/>
            </w:pPr>
            <w:r>
              <w:rPr>
                <w:b/>
                <w:color w:val="FFFFFF"/>
              </w:rPr>
              <w:t xml:space="preserve">Question</w:t>
            </w:r>
          </w:p>
        </w:tc>
        <w:tc>
          <w:tcPr>
            <w:tcBorders>
              <w:bottom w:val="single"/>
            </w:tcBorders>
            <w:vAlign w:val="bottom"/>
            <w:tcW w:w="2600" w:type="pct"/>
            <w:tcBorders>
              <w:top w:val="single" w:sz="4" w:space="0" w:color="B9A66B"/>
              <w:left w:val="single" w:sz="4" w:space="0" w:color="B9A66B"/>
              <w:bottom w:val="single" w:sz="4" w:space="0" w:color="B9A66B"/>
              <w:right w:val="single" w:sz="4" w:space="0" w:color="B9A66B"/>
            </w:tcBorders>
            <w:shd w:val="clear" w:fill="142A4D"/>
          </w:tcPr>
          <w:p>
            <w:pPr>
              <w:pStyle w:val="Compact"/>
              <w:jc w:val="left"/>
            </w:pPr>
            <w:r>
              <w:rPr>
                <w:b/>
                <w:color w:val="FFFFFF"/>
              </w:rPr>
              <w:t xml:space="preserve">Answer approach</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191</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Can I start my own gemstone trading business after this?</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Yes — a legitimate, common path, income is business-dependent (5.12).</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192</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Do you teach how to source suppliers?</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Not a formal module; the credential builds the judgment to evaluate suppliers confidently (Role Play 11).</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193</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Can this help me avoid being cheated by suppliers?</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Yes — this is a common and legitimate motivation (2.6, Role Play 11).</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194</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Is a business plan part of any course?</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Not typically — courses build technical competence, not business planning skills directly.</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195</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Can I start an online jewellery brand with just this credential?</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The credential reduces sourcing/quality risk; business success depends on many other factors (5.12).</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196</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Do you offer any mentorship for graduates starting a business?</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Confirm accurately what genuinely exists; don’t overstate.</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197</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Is it common for graduates to become entrepreneurs?</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Yes, a recognized and common path (5.12).</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198</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What’s the realistic timeline to build a profitable business after graduating?</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Highly variable and business-dependent — avoid specific promises.</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199</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Should I do Diamond Graduate or Colored Stone Graduate for a trading business?</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Depends on the specific stones the business will focus on (4.2, 4.3).</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200</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Can I combine this with an existing unrelated business?</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Yes — common among Entrepreneur-persona students (2.6).</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201</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Do you provide any support with business registration or export licensing?</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Not typically — this is outside the scope of gemological education; direct to relevant professional advisors.</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202</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Is franchising or licensing a jewellery brand a realistic path after this?</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Possible, but depends heavily on business factors beyond the credential itself.</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203</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What’s the biggest mistake new entrepreneurs make in this field?</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Underinvesting in genuine product/grading competence before scaling — frame honestly.</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204</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Can I get an IGI credential specifically to train my own future staff?</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Yes — this is a legitimate motivation, and Corporate Programs may also be relevant later (4.10).</w:t>
            </w:r>
          </w:p>
        </w:tc>
      </w:tr>
    </w:tbl>
    <w:p>
      <w:pPr>
        <w:pStyle w:val="Heading2"/>
      </w:pPr>
      <w:bookmarkStart w:id="34" w:name="m.-corporate-group-enrolment"/>
      <w:r>
        <w:t xml:space="preserve">M. Corporate &amp; Group Enrolment</w:t>
      </w:r>
      <w:bookmarkEnd w:id="34"/>
    </w:p>
    <w:tbl>
      <w:tblPr>
        <w:tblStyle w:val="Table"/>
        <w:tblLook w:firstRow="1"/>
        <w:tblW w:w="5000" w:type="pct"/>
        <w:tblLayout w:type="fixed"/>
      </w:tblPr>
      <w:tblGrid>
        <w:gridCol w:w="2640"/>
        <w:gridCol w:w="2640"/>
        <w:gridCol w:w="2640"/>
      </w:tblGrid>
      <w:tr>
        <w:trPr>
          <w:cnfStyle w:firstRow="1"/>
          <w:tblHeader w:val="true"/>
        </w:trPr>
        <w:tc>
          <w:tcPr>
            <w:tcBorders>
              <w:bottom w:val="single"/>
            </w:tcBorders>
            <w:vAlign w:val="bottom"/>
            <w:tcW w:w="1200" w:type="pct"/>
            <w:tcBorders>
              <w:top w:val="single" w:sz="4" w:space="0" w:color="B9A66B"/>
              <w:left w:val="single" w:sz="4" w:space="0" w:color="B9A66B"/>
              <w:bottom w:val="single" w:sz="4" w:space="0" w:color="B9A66B"/>
              <w:right w:val="single" w:sz="4" w:space="0" w:color="B9A66B"/>
            </w:tcBorders>
            <w:shd w:val="clear" w:fill="142A4D"/>
          </w:tcPr>
          <w:p>
            <w:pPr>
              <w:pStyle w:val="Compact"/>
              <w:jc w:val="left"/>
            </w:pPr>
            <w:r>
              <w:rPr>
                <w:b/>
                <w:color w:val="FFFFFF"/>
              </w:rPr>
              <w:t xml:space="preserve">#</w:t>
            </w:r>
          </w:p>
        </w:tc>
        <w:tc>
          <w:tcPr>
            <w:tcBorders>
              <w:bottom w:val="single"/>
            </w:tcBorders>
            <w:vAlign w:val="bottom"/>
            <w:tcW w:w="1200" w:type="pct"/>
            <w:tcBorders>
              <w:top w:val="single" w:sz="4" w:space="0" w:color="B9A66B"/>
              <w:left w:val="single" w:sz="4" w:space="0" w:color="B9A66B"/>
              <w:bottom w:val="single" w:sz="4" w:space="0" w:color="B9A66B"/>
              <w:right w:val="single" w:sz="4" w:space="0" w:color="B9A66B"/>
            </w:tcBorders>
            <w:shd w:val="clear" w:fill="142A4D"/>
          </w:tcPr>
          <w:p>
            <w:pPr>
              <w:pStyle w:val="Compact"/>
              <w:jc w:val="left"/>
            </w:pPr>
            <w:r>
              <w:rPr>
                <w:b/>
                <w:color w:val="FFFFFF"/>
              </w:rPr>
              <w:t xml:space="preserve">Question</w:t>
            </w:r>
          </w:p>
        </w:tc>
        <w:tc>
          <w:tcPr>
            <w:tcBorders>
              <w:bottom w:val="single"/>
            </w:tcBorders>
            <w:vAlign w:val="bottom"/>
            <w:tcW w:w="2600" w:type="pct"/>
            <w:tcBorders>
              <w:top w:val="single" w:sz="4" w:space="0" w:color="B9A66B"/>
              <w:left w:val="single" w:sz="4" w:space="0" w:color="B9A66B"/>
              <w:bottom w:val="single" w:sz="4" w:space="0" w:color="B9A66B"/>
              <w:right w:val="single" w:sz="4" w:space="0" w:color="B9A66B"/>
            </w:tcBorders>
            <w:shd w:val="clear" w:fill="142A4D"/>
          </w:tcPr>
          <w:p>
            <w:pPr>
              <w:pStyle w:val="Compact"/>
              <w:jc w:val="left"/>
            </w:pPr>
            <w:r>
              <w:rPr>
                <w:b/>
                <w:color w:val="FFFFFF"/>
              </w:rPr>
              <w:t xml:space="preserve">Answer approach</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205</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Can this be delivered at our own facility?</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Often yes, subject to scoping — confirm with your Centre Head (4.10).</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206</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How many staff do we need for a corporate program to make sense?</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Confirm current minimum group size policy.</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207</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Can we customize the curriculum for our specific business needs?</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Yes — Corporate Programs are built around identified skill gaps (4.10).</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208</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Do you offer bulk pricing for group enrolment?</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Confirm current corporate pricing policy.</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209</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Can we get a training needs assessment before committing?</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Yes — this is the appropriate first step for a corporate enquiry (10.5).</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210</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How do you handle staff at different skill levels within one group?</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Scoping should account for mixed skill levels — discuss specifics with your Centre Head.</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211</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Can training be scheduled around our retail floor hours?</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Yes, this is a core design principle of Corporate Programs (4.10).</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212</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Do you provide a completion report for HR/compliance purposes?</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Confirm accurately what documentation is genuinely provided.</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213</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Can we repeat this training periodically for new hires?</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Yes — discuss an ongoing arrangement with your Centre Head.</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214</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Is there a difference in certification for corporate vs. individual enrolment?</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Confirm current policy — the underlying course credential is usually the same.</w:t>
            </w:r>
          </w:p>
        </w:tc>
      </w:tr>
    </w:tbl>
    <w:p>
      <w:pPr>
        <w:pStyle w:val="Heading2"/>
      </w:pPr>
      <w:bookmarkStart w:id="35" w:name="Xb5e63af133e3322dac24f5c3e9627be1fdf3050"/>
      <w:r>
        <w:t xml:space="preserve">N. Certification, Credentials &amp; Verification</w:t>
      </w:r>
      <w:bookmarkEnd w:id="35"/>
    </w:p>
    <w:tbl>
      <w:tblPr>
        <w:tblStyle w:val="Table"/>
        <w:tblLook w:firstRow="1"/>
        <w:tblW w:w="5000" w:type="pct"/>
        <w:tblLayout w:type="fixed"/>
      </w:tblPr>
      <w:tblGrid>
        <w:gridCol w:w="2640"/>
        <w:gridCol w:w="2640"/>
        <w:gridCol w:w="2640"/>
      </w:tblGrid>
      <w:tr>
        <w:trPr>
          <w:cnfStyle w:firstRow="1"/>
          <w:tblHeader w:val="true"/>
        </w:trPr>
        <w:tc>
          <w:tcPr>
            <w:tcBorders>
              <w:bottom w:val="single"/>
            </w:tcBorders>
            <w:vAlign w:val="bottom"/>
            <w:tcW w:w="1200" w:type="pct"/>
            <w:tcBorders>
              <w:top w:val="single" w:sz="4" w:space="0" w:color="B9A66B"/>
              <w:left w:val="single" w:sz="4" w:space="0" w:color="B9A66B"/>
              <w:bottom w:val="single" w:sz="4" w:space="0" w:color="B9A66B"/>
              <w:right w:val="single" w:sz="4" w:space="0" w:color="B9A66B"/>
            </w:tcBorders>
            <w:shd w:val="clear" w:fill="142A4D"/>
          </w:tcPr>
          <w:p>
            <w:pPr>
              <w:pStyle w:val="Compact"/>
              <w:jc w:val="left"/>
            </w:pPr>
            <w:r>
              <w:rPr>
                <w:b/>
                <w:color w:val="FFFFFF"/>
              </w:rPr>
              <w:t xml:space="preserve">#</w:t>
            </w:r>
          </w:p>
        </w:tc>
        <w:tc>
          <w:tcPr>
            <w:tcBorders>
              <w:bottom w:val="single"/>
            </w:tcBorders>
            <w:vAlign w:val="bottom"/>
            <w:tcW w:w="1200" w:type="pct"/>
            <w:tcBorders>
              <w:top w:val="single" w:sz="4" w:space="0" w:color="B9A66B"/>
              <w:left w:val="single" w:sz="4" w:space="0" w:color="B9A66B"/>
              <w:bottom w:val="single" w:sz="4" w:space="0" w:color="B9A66B"/>
              <w:right w:val="single" w:sz="4" w:space="0" w:color="B9A66B"/>
            </w:tcBorders>
            <w:shd w:val="clear" w:fill="142A4D"/>
          </w:tcPr>
          <w:p>
            <w:pPr>
              <w:pStyle w:val="Compact"/>
              <w:jc w:val="left"/>
            </w:pPr>
            <w:r>
              <w:rPr>
                <w:b/>
                <w:color w:val="FFFFFF"/>
              </w:rPr>
              <w:t xml:space="preserve">Question</w:t>
            </w:r>
          </w:p>
        </w:tc>
        <w:tc>
          <w:tcPr>
            <w:tcBorders>
              <w:bottom w:val="single"/>
            </w:tcBorders>
            <w:vAlign w:val="bottom"/>
            <w:tcW w:w="2600" w:type="pct"/>
            <w:tcBorders>
              <w:top w:val="single" w:sz="4" w:space="0" w:color="B9A66B"/>
              <w:left w:val="single" w:sz="4" w:space="0" w:color="B9A66B"/>
              <w:bottom w:val="single" w:sz="4" w:space="0" w:color="B9A66B"/>
              <w:right w:val="single" w:sz="4" w:space="0" w:color="B9A66B"/>
            </w:tcBorders>
            <w:shd w:val="clear" w:fill="142A4D"/>
          </w:tcPr>
          <w:p>
            <w:pPr>
              <w:pStyle w:val="Compact"/>
              <w:jc w:val="left"/>
            </w:pPr>
            <w:r>
              <w:rPr>
                <w:b/>
                <w:color w:val="FFFFFF"/>
              </w:rPr>
              <w:t xml:space="preserve">Answer approach</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215</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How do I know the certificate itself is authentic?</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Explain IGI’s actual verification/documentation process accurately.</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216</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Can employers verify my certificate directly with IGI?</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Confirm the current verification process available to employers.</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217</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Is there a digital/online version of my certificate?</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Confirm current documentation formats offered.</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218</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What happens if I lose my certificate?</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Confirm current reissuance policy.</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219</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Does the certificate expire?</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Confirm — most gemological diplomas don’t expire, though industry knowledge should be kept current (12).</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220</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Is there a registry where employers can look up graduates?</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Confirm accurately what verification mechanisms genuinely exist.</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221</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Can I add my certificate to LinkedIn or professional profiles?</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Yes, generally appropriate — confirm any official digital badge/verification option.</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222</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Is there a difference between a</w:t>
            </w:r>
            <w:r>
              <w:t xml:space="preserve"> </w:t>
            </w:r>
            <w:r>
              <w:t xml:space="preserve">“</w:t>
            </w:r>
            <w:r>
              <w:t xml:space="preserve">certificate</w:t>
            </w:r>
            <w:r>
              <w:t xml:space="preserve">”</w:t>
            </w:r>
            <w:r>
              <w:t xml:space="preserve"> </w:t>
            </w:r>
            <w:r>
              <w:t xml:space="preserve">and a</w:t>
            </w:r>
            <w:r>
              <w:t xml:space="preserve"> </w:t>
            </w:r>
            <w:r>
              <w:t xml:space="preserve">“</w:t>
            </w:r>
            <w:r>
              <w:t xml:space="preserve">diploma</w:t>
            </w:r>
            <w:r>
              <w:t xml:space="preserve">”</w:t>
            </w:r>
            <w:r>
              <w:t xml:space="preserve"> </w:t>
            </w:r>
            <w:r>
              <w:t xml:space="preserve">at IGI?</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Confirm current terminology and distinctions used officially.</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223</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Do I get a transcript of subjects covered, not just a certificate?</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Confirm what documentation is provided alongside the certificate.</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224</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Can I retake an exam if I don’t pass the first time?</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Confirm current retake policy.</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225</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Is the certification recognized by professional associations in the trade?</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Confirm accurately which associations recognize IGI credentials specifically.</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226</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How long does it take to receive the certificate after completing the course?</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Confirm current processing timeline.</w:t>
            </w:r>
          </w:p>
        </w:tc>
      </w:tr>
    </w:tbl>
    <w:p>
      <w:pPr>
        <w:pStyle w:val="Heading2"/>
      </w:pPr>
      <w:bookmarkStart w:id="36" w:name="o.-alumni-community-ongoing-support"/>
      <w:r>
        <w:t xml:space="preserve">O. Alumni, Community &amp; Ongoing Support</w:t>
      </w:r>
      <w:bookmarkEnd w:id="36"/>
    </w:p>
    <w:tbl>
      <w:tblPr>
        <w:tblStyle w:val="Table"/>
        <w:tblLook w:firstRow="1"/>
        <w:tblW w:w="5000" w:type="pct"/>
        <w:tblLayout w:type="fixed"/>
      </w:tblPr>
      <w:tblGrid>
        <w:gridCol w:w="2640"/>
        <w:gridCol w:w="2640"/>
        <w:gridCol w:w="2640"/>
      </w:tblGrid>
      <w:tr>
        <w:trPr>
          <w:cnfStyle w:firstRow="1"/>
          <w:tblHeader w:val="true"/>
        </w:trPr>
        <w:tc>
          <w:tcPr>
            <w:tcBorders>
              <w:bottom w:val="single"/>
            </w:tcBorders>
            <w:vAlign w:val="bottom"/>
            <w:tcW w:w="1200" w:type="pct"/>
            <w:tcBorders>
              <w:top w:val="single" w:sz="4" w:space="0" w:color="B9A66B"/>
              <w:left w:val="single" w:sz="4" w:space="0" w:color="B9A66B"/>
              <w:bottom w:val="single" w:sz="4" w:space="0" w:color="B9A66B"/>
              <w:right w:val="single" w:sz="4" w:space="0" w:color="B9A66B"/>
            </w:tcBorders>
            <w:shd w:val="clear" w:fill="142A4D"/>
          </w:tcPr>
          <w:p>
            <w:pPr>
              <w:pStyle w:val="Compact"/>
              <w:jc w:val="left"/>
            </w:pPr>
            <w:r>
              <w:rPr>
                <w:b/>
                <w:color w:val="FFFFFF"/>
              </w:rPr>
              <w:t xml:space="preserve">#</w:t>
            </w:r>
          </w:p>
        </w:tc>
        <w:tc>
          <w:tcPr>
            <w:tcBorders>
              <w:bottom w:val="single"/>
            </w:tcBorders>
            <w:vAlign w:val="bottom"/>
            <w:tcW w:w="1200" w:type="pct"/>
            <w:tcBorders>
              <w:top w:val="single" w:sz="4" w:space="0" w:color="B9A66B"/>
              <w:left w:val="single" w:sz="4" w:space="0" w:color="B9A66B"/>
              <w:bottom w:val="single" w:sz="4" w:space="0" w:color="B9A66B"/>
              <w:right w:val="single" w:sz="4" w:space="0" w:color="B9A66B"/>
            </w:tcBorders>
            <w:shd w:val="clear" w:fill="142A4D"/>
          </w:tcPr>
          <w:p>
            <w:pPr>
              <w:pStyle w:val="Compact"/>
              <w:jc w:val="left"/>
            </w:pPr>
            <w:r>
              <w:rPr>
                <w:b/>
                <w:color w:val="FFFFFF"/>
              </w:rPr>
              <w:t xml:space="preserve">Question</w:t>
            </w:r>
          </w:p>
        </w:tc>
        <w:tc>
          <w:tcPr>
            <w:tcBorders>
              <w:bottom w:val="single"/>
            </w:tcBorders>
            <w:vAlign w:val="bottom"/>
            <w:tcW w:w="2600" w:type="pct"/>
            <w:tcBorders>
              <w:top w:val="single" w:sz="4" w:space="0" w:color="B9A66B"/>
              <w:left w:val="single" w:sz="4" w:space="0" w:color="B9A66B"/>
              <w:bottom w:val="single" w:sz="4" w:space="0" w:color="B9A66B"/>
              <w:right w:val="single" w:sz="4" w:space="0" w:color="B9A66B"/>
            </w:tcBorders>
            <w:shd w:val="clear" w:fill="142A4D"/>
          </w:tcPr>
          <w:p>
            <w:pPr>
              <w:pStyle w:val="Compact"/>
              <w:jc w:val="left"/>
            </w:pPr>
            <w:r>
              <w:rPr>
                <w:b/>
                <w:color w:val="FFFFFF"/>
              </w:rPr>
              <w:t xml:space="preserve">Answer approach</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227</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Is there an alumni community I can be part of?</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Describe accurately what exists; don’t invent a benefit that isn’t real.</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228</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Can I stay in touch with faculty after graduating?</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Confirm what’s genuinely encouraged/facilitated.</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229</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Do you offer refresher courses for graduates?</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Confirm current refresher/continuing-education offerings.</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230</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Is there a way to network with other graduates in my city?</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Confirm if alumni events or groups genuinely exist.</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231</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Can graduates get updates on new market trends or techniques?</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Confirm what ongoing communication genuinely exists.</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232</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Do you help connect graduates with job openings?</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Describe accurately what career support genuinely exists; never promise guaranteed placement (8.9).</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233</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Is there a mentorship program pairing new graduates with experienced professionals?</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Confirm accurately what exists; don’t overstate.</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234</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Can I return to guest-teach or share my story after graduating?</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Confirm if this is something your centre facilitates.</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235</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Do you have testimonials or case studies I can look at?</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Share accurate, real examples per Section 4’s success story sketches.</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236</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How can I give feedback about my course experience?</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Confirm the current feedback channel available to students.</w:t>
            </w:r>
          </w:p>
        </w:tc>
      </w:tr>
    </w:tbl>
    <w:p>
      <w:pPr>
        <w:pStyle w:val="Heading2"/>
      </w:pPr>
      <w:bookmarkStart w:id="37" w:name="p.-miscellaneous-long-tail"/>
      <w:r>
        <w:t xml:space="preserve">P. Miscellaneous &amp; Long-Tail</w:t>
      </w:r>
      <w:bookmarkEnd w:id="37"/>
    </w:p>
    <w:tbl>
      <w:tblPr>
        <w:tblStyle w:val="Table"/>
        <w:tblLook w:firstRow="1"/>
        <w:tblW w:w="5000" w:type="pct"/>
        <w:tblLayout w:type="fixed"/>
      </w:tblPr>
      <w:tblGrid>
        <w:gridCol w:w="2640"/>
        <w:gridCol w:w="2640"/>
        <w:gridCol w:w="2640"/>
      </w:tblGrid>
      <w:tr>
        <w:trPr>
          <w:cnfStyle w:firstRow="1"/>
          <w:tblHeader w:val="true"/>
        </w:trPr>
        <w:tc>
          <w:tcPr>
            <w:tcBorders>
              <w:bottom w:val="single"/>
            </w:tcBorders>
            <w:vAlign w:val="bottom"/>
            <w:tcW w:w="1200" w:type="pct"/>
            <w:tcBorders>
              <w:top w:val="single" w:sz="4" w:space="0" w:color="B9A66B"/>
              <w:left w:val="single" w:sz="4" w:space="0" w:color="B9A66B"/>
              <w:bottom w:val="single" w:sz="4" w:space="0" w:color="B9A66B"/>
              <w:right w:val="single" w:sz="4" w:space="0" w:color="B9A66B"/>
            </w:tcBorders>
            <w:shd w:val="clear" w:fill="142A4D"/>
          </w:tcPr>
          <w:p>
            <w:pPr>
              <w:pStyle w:val="Compact"/>
              <w:jc w:val="left"/>
            </w:pPr>
            <w:r>
              <w:rPr>
                <w:b/>
                <w:color w:val="FFFFFF"/>
              </w:rPr>
              <w:t xml:space="preserve">#</w:t>
            </w:r>
          </w:p>
        </w:tc>
        <w:tc>
          <w:tcPr>
            <w:tcBorders>
              <w:bottom w:val="single"/>
            </w:tcBorders>
            <w:vAlign w:val="bottom"/>
            <w:tcW w:w="1200" w:type="pct"/>
            <w:tcBorders>
              <w:top w:val="single" w:sz="4" w:space="0" w:color="B9A66B"/>
              <w:left w:val="single" w:sz="4" w:space="0" w:color="B9A66B"/>
              <w:bottom w:val="single" w:sz="4" w:space="0" w:color="B9A66B"/>
              <w:right w:val="single" w:sz="4" w:space="0" w:color="B9A66B"/>
            </w:tcBorders>
            <w:shd w:val="clear" w:fill="142A4D"/>
          </w:tcPr>
          <w:p>
            <w:pPr>
              <w:pStyle w:val="Compact"/>
              <w:jc w:val="left"/>
            </w:pPr>
            <w:r>
              <w:rPr>
                <w:b/>
                <w:color w:val="FFFFFF"/>
              </w:rPr>
              <w:t xml:space="preserve">Question</w:t>
            </w:r>
          </w:p>
        </w:tc>
        <w:tc>
          <w:tcPr>
            <w:tcBorders>
              <w:bottom w:val="single"/>
            </w:tcBorders>
            <w:vAlign w:val="bottom"/>
            <w:tcW w:w="2600" w:type="pct"/>
            <w:tcBorders>
              <w:top w:val="single" w:sz="4" w:space="0" w:color="B9A66B"/>
              <w:left w:val="single" w:sz="4" w:space="0" w:color="B9A66B"/>
              <w:bottom w:val="single" w:sz="4" w:space="0" w:color="B9A66B"/>
              <w:right w:val="single" w:sz="4" w:space="0" w:color="B9A66B"/>
            </w:tcBorders>
            <w:shd w:val="clear" w:fill="142A4D"/>
          </w:tcPr>
          <w:p>
            <w:pPr>
              <w:pStyle w:val="Compact"/>
              <w:jc w:val="left"/>
            </w:pPr>
            <w:r>
              <w:rPr>
                <w:b/>
                <w:color w:val="FFFFFF"/>
              </w:rPr>
              <w:t xml:space="preserve">Answer approach</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237</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Is this a good field for women specifically?</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Yes — women hold significant, growing roles across the trade; answer factually and respectfully.</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238</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Can I do this as a side skill without changing my main career?</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Yes, particularly via Diamond Essentials, JewelPad, or Polished Diamond Course.</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239</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How is this different from a random YouTube/online gemology course?</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Structured curriculum, hands-on lab access, recognized credentialing, institutional support — be specific.</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240</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Is the class size small enough for real hands-on practice?</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Confirm actual current batch sizes.</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241</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What makes a student unsuccessful in this field, so I can avoid that?</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Usually a mismatch between chosen course and actual goal — exactly what Needs Analysis prevents (3.3).</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242</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Can two family members enroll together for a discount?</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Confirm current policy; don’t improvise.</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243</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What if the batch I want is full?</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Offer the next available batch or an interim step rather than losing the enquiry.</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244</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Is there a difference in teaching quality between centres?</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Confirm honestly; escalate quality concerns rather than deflecting.</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245</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Can I bring a friend to sit in on a demo/trial class?</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Confirm current trial-class policy.</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246</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Do you offer any orientation before the course officially starts?</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Confirm what orientation genuinely exists (10.13, Welcome Message).</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247</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What should I bring on the first day?</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Confirm current first-day logistics per course/centre.</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248</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Is there a dress code or specific requirement for lab sessions?</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Confirm current lab safety/attire requirements if any.</w:t>
            </w:r>
          </w:p>
        </w:tc>
      </w:tr>
      <w:tr>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249</w:t>
            </w:r>
          </w:p>
        </w:tc>
        <w:tc>
          <w:tcPr>
            <w:tcW w:w="12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Can I record lectures for personal revision?</w:t>
            </w:r>
          </w:p>
        </w:tc>
        <w:tc>
          <w:tcPr>
            <w:tcW w:w="26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Confirm current recording policy.</w:t>
            </w:r>
          </w:p>
        </w:tc>
      </w:tr>
      <w:tr>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250</w:t>
            </w:r>
          </w:p>
        </w:tc>
        <w:tc>
          <w:tcPr>
            <w:tcW w:w="12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Who do I contact if I have a concern during the course?</w:t>
            </w:r>
          </w:p>
        </w:tc>
        <w:tc>
          <w:tcPr>
            <w:tcW w:w="26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Provide the accurate current escalation contact (centre head/student support).</w:t>
            </w:r>
          </w:p>
        </w:tc>
      </w:tr>
    </w:tbl>
    <w:p>
      <w:r>
        <w:pict>
          <v:rect style="width:0;height:1.5pt" o:hralign="center" o:hrstd="t" o:hr="t"/>
        </w:pict>
      </w:r>
    </w:p>
    <w:p>
      <w:pPr>
        <w:pStyle w:val="Heading2"/>
      </w:pPr>
      <w:bookmarkStart w:id="38" w:name="cross-reference-index"/>
      <w:r>
        <w:t xml:space="preserve">Cross-Reference Index</w:t>
      </w:r>
      <w:bookmarkEnd w:id="38"/>
    </w:p>
    <w:tbl>
      <w:tblPr>
        <w:tblStyle w:val="Table"/>
        <w:tblLook w:firstRow="1"/>
        <w:tblW w:w="5000" w:type="pct"/>
        <w:tblLayout w:type="fixed"/>
      </w:tblPr>
      <w:tblGrid/>
      <w:tr>
        <w:trPr>
          <w:cnfStyle w:firstRow="1"/>
          <w:tblHeader w:val="true"/>
        </w:trPr>
        <w:tc>
          <w:tcPr>
            <w:tcBorders>
              <w:bottom w:val="single"/>
            </w:tcBorders>
            <w:vAlign w:val="bottom"/>
            <w:tcBorders>
              <w:top w:val="single" w:sz="4" w:space="0" w:color="B9A66B"/>
              <w:left w:val="single" w:sz="4" w:space="0" w:color="B9A66B"/>
              <w:bottom w:val="single" w:sz="4" w:space="0" w:color="B9A66B"/>
              <w:right w:val="single" w:sz="4" w:space="0" w:color="B9A66B"/>
            </w:tcBorders>
            <w:shd w:val="clear" w:fill="142A4D"/>
          </w:tcPr>
          <w:p>
            <w:pPr>
              <w:pStyle w:val="Compact"/>
              <w:jc w:val="left"/>
            </w:pPr>
            <w:r>
              <w:rPr>
                <w:b/>
                <w:color w:val="FFFFFF"/>
              </w:rPr>
              <w:t xml:space="preserve">Category</w:t>
            </w:r>
          </w:p>
        </w:tc>
        <w:tc>
          <w:tcPr>
            <w:tcBorders>
              <w:bottom w:val="single"/>
            </w:tcBorders>
            <w:vAlign w:val="bottom"/>
            <w:tcBorders>
              <w:top w:val="single" w:sz="4" w:space="0" w:color="B9A66B"/>
              <w:left w:val="single" w:sz="4" w:space="0" w:color="B9A66B"/>
              <w:bottom w:val="single" w:sz="4" w:space="0" w:color="B9A66B"/>
              <w:right w:val="single" w:sz="4" w:space="0" w:color="B9A66B"/>
            </w:tcBorders>
            <w:shd w:val="clear" w:fill="142A4D"/>
          </w:tcPr>
          <w:p>
            <w:pPr>
              <w:pStyle w:val="Compact"/>
              <w:jc w:val="left"/>
            </w:pPr>
            <w:r>
              <w:rPr>
                <w:b/>
                <w:color w:val="FFFFFF"/>
              </w:rPr>
              <w:t xml:space="preserve">Question range</w:t>
            </w:r>
          </w:p>
        </w:tc>
        <w:tc>
          <w:tcPr>
            <w:tcBorders>
              <w:bottom w:val="single"/>
            </w:tcBorders>
            <w:vAlign w:val="bottom"/>
            <w:tcBorders>
              <w:top w:val="single" w:sz="4" w:space="0" w:color="B9A66B"/>
              <w:left w:val="single" w:sz="4" w:space="0" w:color="B9A66B"/>
              <w:bottom w:val="single" w:sz="4" w:space="0" w:color="B9A66B"/>
              <w:right w:val="single" w:sz="4" w:space="0" w:color="B9A66B"/>
            </w:tcBorders>
            <w:shd w:val="clear" w:fill="142A4D"/>
          </w:tcPr>
          <w:p>
            <w:pPr>
              <w:pStyle w:val="Compact"/>
              <w:jc w:val="left"/>
            </w:pPr>
            <w:r>
              <w:rPr>
                <w:b/>
                <w:color w:val="FFFFFF"/>
              </w:rPr>
              <w:t xml:space="preserve">Core Playbook link</w:t>
            </w:r>
          </w:p>
        </w:tc>
      </w:tr>
      <w:tr>
        <w:tc>
          <w:tcPr>
            <w:tcBorders>
              <w:top w:val="single" w:sz="4" w:space="0" w:color="B9A66B"/>
              <w:left w:val="single" w:sz="4" w:space="0" w:color="B9A66B"/>
              <w:bottom w:val="single" w:sz="4" w:space="0" w:color="B9A66B"/>
              <w:right w:val="single" w:sz="4" w:space="0" w:color="B9A66B"/>
            </w:tcBorders>
          </w:tcPr>
          <w:p>
            <w:pPr>
              <w:pStyle w:val="Compact"/>
              <w:jc w:val="left"/>
            </w:pPr>
            <w:r>
              <w:t xml:space="preserve">Institute Choice &amp; Comparison</w:t>
            </w:r>
          </w:p>
        </w:tc>
        <w:tc>
          <w:tcPr>
            <w:tcBorders>
              <w:top w:val="single" w:sz="4" w:space="0" w:color="B9A66B"/>
              <w:left w:val="single" w:sz="4" w:space="0" w:color="B9A66B"/>
              <w:bottom w:val="single" w:sz="4" w:space="0" w:color="B9A66B"/>
              <w:right w:val="single" w:sz="4" w:space="0" w:color="B9A66B"/>
            </w:tcBorders>
          </w:tcPr>
          <w:p>
            <w:pPr>
              <w:pStyle w:val="Compact"/>
              <w:jc w:val="left"/>
            </w:pPr>
            <w:r>
              <w:t xml:space="preserve">1-20</w:t>
            </w:r>
          </w:p>
        </w:tc>
        <w:tc>
          <w:tcPr>
            <w:tcBorders>
              <w:top w:val="single" w:sz="4" w:space="0" w:color="B9A66B"/>
              <w:left w:val="single" w:sz="4" w:space="0" w:color="B9A66B"/>
              <w:bottom w:val="single" w:sz="4" w:space="0" w:color="B9A66B"/>
              <w:right w:val="single" w:sz="4" w:space="0" w:color="B9A66B"/>
            </w:tcBorders>
          </w:tcPr>
          <w:p>
            <w:pPr>
              <w:pStyle w:val="Compact"/>
              <w:jc w:val="left"/>
            </w:pPr>
            <w:r>
              <w:t xml:space="preserve">Section 6</w:t>
            </w:r>
          </w:p>
        </w:tc>
      </w:tr>
      <w:tr>
        <w:tc>
          <w:tcPr>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Career Outcomes &amp; Placement</w:t>
            </w:r>
          </w:p>
        </w:tc>
        <w:tc>
          <w:tcPr>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21-40</w:t>
            </w:r>
          </w:p>
        </w:tc>
        <w:tc>
          <w:tcPr>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Section 5, 8.9</w:t>
            </w:r>
          </w:p>
        </w:tc>
      </w:tr>
      <w:tr>
        <w:tc>
          <w:tcPr>
            <w:tcBorders>
              <w:top w:val="single" w:sz="4" w:space="0" w:color="B9A66B"/>
              <w:left w:val="single" w:sz="4" w:space="0" w:color="B9A66B"/>
              <w:bottom w:val="single" w:sz="4" w:space="0" w:color="B9A66B"/>
              <w:right w:val="single" w:sz="4" w:space="0" w:color="B9A66B"/>
            </w:tcBorders>
          </w:tcPr>
          <w:p>
            <w:pPr>
              <w:pStyle w:val="Compact"/>
              <w:jc w:val="left"/>
            </w:pPr>
            <w:r>
              <w:t xml:space="preserve">Eligibility &amp; Background</w:t>
            </w:r>
          </w:p>
        </w:tc>
        <w:tc>
          <w:tcPr>
            <w:tcBorders>
              <w:top w:val="single" w:sz="4" w:space="0" w:color="B9A66B"/>
              <w:left w:val="single" w:sz="4" w:space="0" w:color="B9A66B"/>
              <w:bottom w:val="single" w:sz="4" w:space="0" w:color="B9A66B"/>
              <w:right w:val="single" w:sz="4" w:space="0" w:color="B9A66B"/>
            </w:tcBorders>
          </w:tcPr>
          <w:p>
            <w:pPr>
              <w:pStyle w:val="Compact"/>
              <w:jc w:val="left"/>
            </w:pPr>
            <w:r>
              <w:t xml:space="preserve">41-60</w:t>
            </w:r>
          </w:p>
        </w:tc>
        <w:tc>
          <w:tcPr>
            <w:tcBorders>
              <w:top w:val="single" w:sz="4" w:space="0" w:color="B9A66B"/>
              <w:left w:val="single" w:sz="4" w:space="0" w:color="B9A66B"/>
              <w:bottom w:val="single" w:sz="4" w:space="0" w:color="B9A66B"/>
              <w:right w:val="single" w:sz="4" w:space="0" w:color="B9A66B"/>
            </w:tcBorders>
          </w:tcPr>
          <w:p>
            <w:pPr>
              <w:pStyle w:val="Compact"/>
              <w:jc w:val="left"/>
            </w:pPr>
            <w:r>
              <w:t xml:space="preserve">Section 2</w:t>
            </w:r>
          </w:p>
        </w:tc>
      </w:tr>
      <w:tr>
        <w:tc>
          <w:tcPr>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Format, Time &amp; Logistics</w:t>
            </w:r>
          </w:p>
        </w:tc>
        <w:tc>
          <w:tcPr>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61-80</w:t>
            </w:r>
          </w:p>
        </w:tc>
        <w:tc>
          <w:tcPr>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Section 3.7</w:t>
            </w:r>
          </w:p>
        </w:tc>
      </w:tr>
      <w:tr>
        <w:tc>
          <w:tcPr>
            <w:tcBorders>
              <w:top w:val="single" w:sz="4" w:space="0" w:color="B9A66B"/>
              <w:left w:val="single" w:sz="4" w:space="0" w:color="B9A66B"/>
              <w:bottom w:val="single" w:sz="4" w:space="0" w:color="B9A66B"/>
              <w:right w:val="single" w:sz="4" w:space="0" w:color="B9A66B"/>
            </w:tcBorders>
          </w:tcPr>
          <w:p>
            <w:pPr>
              <w:pStyle w:val="Compact"/>
              <w:jc w:val="left"/>
            </w:pPr>
            <w:r>
              <w:t xml:space="preserve">Money, Fees &amp; Financing</w:t>
            </w:r>
          </w:p>
        </w:tc>
        <w:tc>
          <w:tcPr>
            <w:tcBorders>
              <w:top w:val="single" w:sz="4" w:space="0" w:color="B9A66B"/>
              <w:left w:val="single" w:sz="4" w:space="0" w:color="B9A66B"/>
              <w:bottom w:val="single" w:sz="4" w:space="0" w:color="B9A66B"/>
              <w:right w:val="single" w:sz="4" w:space="0" w:color="B9A66B"/>
            </w:tcBorders>
          </w:tcPr>
          <w:p>
            <w:pPr>
              <w:pStyle w:val="Compact"/>
              <w:jc w:val="left"/>
            </w:pPr>
            <w:r>
              <w:t xml:space="preserve">81-100</w:t>
            </w:r>
          </w:p>
        </w:tc>
        <w:tc>
          <w:tcPr>
            <w:tcBorders>
              <w:top w:val="single" w:sz="4" w:space="0" w:color="B9A66B"/>
              <w:left w:val="single" w:sz="4" w:space="0" w:color="B9A66B"/>
              <w:bottom w:val="single" w:sz="4" w:space="0" w:color="B9A66B"/>
              <w:right w:val="single" w:sz="4" w:space="0" w:color="B9A66B"/>
            </w:tcBorders>
          </w:tcPr>
          <w:p>
            <w:pPr>
              <w:pStyle w:val="Compact"/>
              <w:jc w:val="left"/>
            </w:pPr>
            <w:r>
              <w:t xml:space="preserve">Section 8.1, 8.7, 8.8</w:t>
            </w:r>
          </w:p>
        </w:tc>
      </w:tr>
      <w:tr>
        <w:tc>
          <w:tcPr>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Family &amp; Approval Dynamics</w:t>
            </w:r>
          </w:p>
        </w:tc>
        <w:tc>
          <w:tcPr>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101-112</w:t>
            </w:r>
          </w:p>
        </w:tc>
        <w:tc>
          <w:tcPr>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Section 2.4, 8.3, 8.4</w:t>
            </w:r>
          </w:p>
        </w:tc>
      </w:tr>
      <w:tr>
        <w:tc>
          <w:tcPr>
            <w:tcBorders>
              <w:top w:val="single" w:sz="4" w:space="0" w:color="B9A66B"/>
              <w:left w:val="single" w:sz="4" w:space="0" w:color="B9A66B"/>
              <w:bottom w:val="single" w:sz="4" w:space="0" w:color="B9A66B"/>
              <w:right w:val="single" w:sz="4" w:space="0" w:color="B9A66B"/>
            </w:tcBorders>
          </w:tcPr>
          <w:p>
            <w:pPr>
              <w:pStyle w:val="Compact"/>
              <w:jc w:val="left"/>
            </w:pPr>
            <w:r>
              <w:t xml:space="preserve">Curriculum &amp; Technical Content</w:t>
            </w:r>
          </w:p>
        </w:tc>
        <w:tc>
          <w:tcPr>
            <w:tcBorders>
              <w:top w:val="single" w:sz="4" w:space="0" w:color="B9A66B"/>
              <w:left w:val="single" w:sz="4" w:space="0" w:color="B9A66B"/>
              <w:bottom w:val="single" w:sz="4" w:space="0" w:color="B9A66B"/>
              <w:right w:val="single" w:sz="4" w:space="0" w:color="B9A66B"/>
            </w:tcBorders>
          </w:tcPr>
          <w:p>
            <w:pPr>
              <w:pStyle w:val="Compact"/>
              <w:jc w:val="left"/>
            </w:pPr>
            <w:r>
              <w:t xml:space="preserve">113-130</w:t>
            </w:r>
          </w:p>
        </w:tc>
        <w:tc>
          <w:tcPr>
            <w:tcBorders>
              <w:top w:val="single" w:sz="4" w:space="0" w:color="B9A66B"/>
              <w:left w:val="single" w:sz="4" w:space="0" w:color="B9A66B"/>
              <w:bottom w:val="single" w:sz="4" w:space="0" w:color="B9A66B"/>
              <w:right w:val="single" w:sz="4" w:space="0" w:color="B9A66B"/>
            </w:tcBorders>
          </w:tcPr>
          <w:p>
            <w:pPr>
              <w:pStyle w:val="Compact"/>
              <w:jc w:val="left"/>
            </w:pPr>
            <w:r>
              <w:t xml:space="preserve">Section 12</w:t>
            </w:r>
          </w:p>
        </w:tc>
      </w:tr>
      <w:tr>
        <w:tc>
          <w:tcPr>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Course-to-Course Comparisons</w:t>
            </w:r>
          </w:p>
        </w:tc>
        <w:tc>
          <w:tcPr>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131-146</w:t>
            </w:r>
          </w:p>
        </w:tc>
        <w:tc>
          <w:tcPr>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Section 4</w:t>
            </w:r>
          </w:p>
        </w:tc>
      </w:tr>
      <w:tr>
        <w:tc>
          <w:tcPr>
            <w:tcBorders>
              <w:top w:val="single" w:sz="4" w:space="0" w:color="B9A66B"/>
              <w:left w:val="single" w:sz="4" w:space="0" w:color="B9A66B"/>
              <w:bottom w:val="single" w:sz="4" w:space="0" w:color="B9A66B"/>
              <w:right w:val="single" w:sz="4" w:space="0" w:color="B9A66B"/>
            </w:tcBorders>
          </w:tcPr>
          <w:p>
            <w:pPr>
              <w:pStyle w:val="Compact"/>
              <w:jc w:val="left"/>
            </w:pPr>
            <w:r>
              <w:t xml:space="preserve">International Students &amp; Recognition</w:t>
            </w:r>
          </w:p>
        </w:tc>
        <w:tc>
          <w:tcPr>
            <w:tcBorders>
              <w:top w:val="single" w:sz="4" w:space="0" w:color="B9A66B"/>
              <w:left w:val="single" w:sz="4" w:space="0" w:color="B9A66B"/>
              <w:bottom w:val="single" w:sz="4" w:space="0" w:color="B9A66B"/>
              <w:right w:val="single" w:sz="4" w:space="0" w:color="B9A66B"/>
            </w:tcBorders>
          </w:tcPr>
          <w:p>
            <w:pPr>
              <w:pStyle w:val="Compact"/>
              <w:jc w:val="left"/>
            </w:pPr>
            <w:r>
              <w:t xml:space="preserve">147-162</w:t>
            </w:r>
          </w:p>
        </w:tc>
        <w:tc>
          <w:tcPr>
            <w:tcBorders>
              <w:top w:val="single" w:sz="4" w:space="0" w:color="B9A66B"/>
              <w:left w:val="single" w:sz="4" w:space="0" w:color="B9A66B"/>
              <w:bottom w:val="single" w:sz="4" w:space="0" w:color="B9A66B"/>
              <w:right w:val="single" w:sz="4" w:space="0" w:color="B9A66B"/>
            </w:tcBorders>
          </w:tcPr>
          <w:p>
            <w:pPr>
              <w:pStyle w:val="Compact"/>
              <w:jc w:val="left"/>
            </w:pPr>
            <w:r>
              <w:t xml:space="preserve">Section 5.14</w:t>
            </w:r>
          </w:p>
        </w:tc>
      </w:tr>
      <w:tr>
        <w:tc>
          <w:tcPr>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Lab-Grown, AI &amp; Modern Concerns</w:t>
            </w:r>
          </w:p>
        </w:tc>
        <w:tc>
          <w:tcPr>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163-176</w:t>
            </w:r>
          </w:p>
        </w:tc>
        <w:tc>
          <w:tcPr>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Section 12.3, 12.10</w:t>
            </w:r>
          </w:p>
        </w:tc>
      </w:tr>
      <w:tr>
        <w:tc>
          <w:tcPr>
            <w:tcBorders>
              <w:top w:val="single" w:sz="4" w:space="0" w:color="B9A66B"/>
              <w:left w:val="single" w:sz="4" w:space="0" w:color="B9A66B"/>
              <w:bottom w:val="single" w:sz="4" w:space="0" w:color="B9A66B"/>
              <w:right w:val="single" w:sz="4" w:space="0" w:color="B9A66B"/>
            </w:tcBorders>
          </w:tcPr>
          <w:p>
            <w:pPr>
              <w:pStyle w:val="Compact"/>
              <w:jc w:val="left"/>
            </w:pPr>
            <w:r>
              <w:t xml:space="preserve">Retail &amp; Luxury Careers</w:t>
            </w:r>
          </w:p>
        </w:tc>
        <w:tc>
          <w:tcPr>
            <w:tcBorders>
              <w:top w:val="single" w:sz="4" w:space="0" w:color="B9A66B"/>
              <w:left w:val="single" w:sz="4" w:space="0" w:color="B9A66B"/>
              <w:bottom w:val="single" w:sz="4" w:space="0" w:color="B9A66B"/>
              <w:right w:val="single" w:sz="4" w:space="0" w:color="B9A66B"/>
            </w:tcBorders>
          </w:tcPr>
          <w:p>
            <w:pPr>
              <w:pStyle w:val="Compact"/>
              <w:jc w:val="left"/>
            </w:pPr>
            <w:r>
              <w:t xml:space="preserve">177-190</w:t>
            </w:r>
          </w:p>
        </w:tc>
        <w:tc>
          <w:tcPr>
            <w:tcBorders>
              <w:top w:val="single" w:sz="4" w:space="0" w:color="B9A66B"/>
              <w:left w:val="single" w:sz="4" w:space="0" w:color="B9A66B"/>
              <w:bottom w:val="single" w:sz="4" w:space="0" w:color="B9A66B"/>
              <w:right w:val="single" w:sz="4" w:space="0" w:color="B9A66B"/>
            </w:tcBorders>
          </w:tcPr>
          <w:p>
            <w:pPr>
              <w:pStyle w:val="Compact"/>
              <w:jc w:val="left"/>
            </w:pPr>
            <w:r>
              <w:t xml:space="preserve">Section 5.3, 5.4</w:t>
            </w:r>
          </w:p>
        </w:tc>
      </w:tr>
      <w:tr>
        <w:tc>
          <w:tcPr>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Entrepreneurship &amp; Business</w:t>
            </w:r>
          </w:p>
        </w:tc>
        <w:tc>
          <w:tcPr>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191-204</w:t>
            </w:r>
          </w:p>
        </w:tc>
        <w:tc>
          <w:tcPr>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Section 5.12</w:t>
            </w:r>
          </w:p>
        </w:tc>
      </w:tr>
      <w:tr>
        <w:tc>
          <w:tcPr>
            <w:tcBorders>
              <w:top w:val="single" w:sz="4" w:space="0" w:color="B9A66B"/>
              <w:left w:val="single" w:sz="4" w:space="0" w:color="B9A66B"/>
              <w:bottom w:val="single" w:sz="4" w:space="0" w:color="B9A66B"/>
              <w:right w:val="single" w:sz="4" w:space="0" w:color="B9A66B"/>
            </w:tcBorders>
          </w:tcPr>
          <w:p>
            <w:pPr>
              <w:pStyle w:val="Compact"/>
              <w:jc w:val="left"/>
            </w:pPr>
            <w:r>
              <w:t xml:space="preserve">Corporate &amp; Group Enrolment</w:t>
            </w:r>
          </w:p>
        </w:tc>
        <w:tc>
          <w:tcPr>
            <w:tcBorders>
              <w:top w:val="single" w:sz="4" w:space="0" w:color="B9A66B"/>
              <w:left w:val="single" w:sz="4" w:space="0" w:color="B9A66B"/>
              <w:bottom w:val="single" w:sz="4" w:space="0" w:color="B9A66B"/>
              <w:right w:val="single" w:sz="4" w:space="0" w:color="B9A66B"/>
            </w:tcBorders>
          </w:tcPr>
          <w:p>
            <w:pPr>
              <w:pStyle w:val="Compact"/>
              <w:jc w:val="left"/>
            </w:pPr>
            <w:r>
              <w:t xml:space="preserve">205-214</w:t>
            </w:r>
          </w:p>
        </w:tc>
        <w:tc>
          <w:tcPr>
            <w:tcBorders>
              <w:top w:val="single" w:sz="4" w:space="0" w:color="B9A66B"/>
              <w:left w:val="single" w:sz="4" w:space="0" w:color="B9A66B"/>
              <w:bottom w:val="single" w:sz="4" w:space="0" w:color="B9A66B"/>
              <w:right w:val="single" w:sz="4" w:space="0" w:color="B9A66B"/>
            </w:tcBorders>
          </w:tcPr>
          <w:p>
            <w:pPr>
              <w:pStyle w:val="Compact"/>
              <w:jc w:val="left"/>
            </w:pPr>
            <w:r>
              <w:t xml:space="preserve">Section 4.10</w:t>
            </w:r>
          </w:p>
        </w:tc>
      </w:tr>
      <w:tr>
        <w:tc>
          <w:tcPr>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Certification &amp; Verification</w:t>
            </w:r>
          </w:p>
        </w:tc>
        <w:tc>
          <w:tcPr>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215-226</w:t>
            </w:r>
          </w:p>
        </w:tc>
        <w:tc>
          <w:tcPr>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Section 13</w:t>
            </w:r>
          </w:p>
        </w:tc>
      </w:tr>
      <w:tr>
        <w:tc>
          <w:tcPr>
            <w:tcBorders>
              <w:top w:val="single" w:sz="4" w:space="0" w:color="B9A66B"/>
              <w:left w:val="single" w:sz="4" w:space="0" w:color="B9A66B"/>
              <w:bottom w:val="single" w:sz="4" w:space="0" w:color="B9A66B"/>
              <w:right w:val="single" w:sz="4" w:space="0" w:color="B9A66B"/>
            </w:tcBorders>
          </w:tcPr>
          <w:p>
            <w:pPr>
              <w:pStyle w:val="Compact"/>
              <w:jc w:val="left"/>
            </w:pPr>
            <w:r>
              <w:t xml:space="preserve">Alumni &amp; Ongoing Support</w:t>
            </w:r>
          </w:p>
        </w:tc>
        <w:tc>
          <w:tcPr>
            <w:tcBorders>
              <w:top w:val="single" w:sz="4" w:space="0" w:color="B9A66B"/>
              <w:left w:val="single" w:sz="4" w:space="0" w:color="B9A66B"/>
              <w:bottom w:val="single" w:sz="4" w:space="0" w:color="B9A66B"/>
              <w:right w:val="single" w:sz="4" w:space="0" w:color="B9A66B"/>
            </w:tcBorders>
          </w:tcPr>
          <w:p>
            <w:pPr>
              <w:pStyle w:val="Compact"/>
              <w:jc w:val="left"/>
            </w:pPr>
            <w:r>
              <w:t xml:space="preserve">227-236</w:t>
            </w:r>
          </w:p>
        </w:tc>
        <w:tc>
          <w:tcPr>
            <w:tcBorders>
              <w:top w:val="single" w:sz="4" w:space="0" w:color="B9A66B"/>
              <w:left w:val="single" w:sz="4" w:space="0" w:color="B9A66B"/>
              <w:bottom w:val="single" w:sz="4" w:space="0" w:color="B9A66B"/>
              <w:right w:val="single" w:sz="4" w:space="0" w:color="B9A66B"/>
            </w:tcBorders>
          </w:tcPr>
          <w:p>
            <w:pPr>
              <w:pStyle w:val="Compact"/>
              <w:jc w:val="left"/>
            </w:pPr>
            <w:r>
              <w:t xml:space="preserve">—</w:t>
            </w:r>
          </w:p>
        </w:tc>
      </w:tr>
      <w:tr>
        <w:tc>
          <w:tcPr>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Miscellaneous &amp; Long-Tail</w:t>
            </w:r>
          </w:p>
        </w:tc>
        <w:tc>
          <w:tcPr>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237-250</w:t>
            </w:r>
          </w:p>
        </w:tc>
        <w:tc>
          <w:tcPr>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w:t>
            </w:r>
          </w:p>
        </w:tc>
      </w:tr>
    </w:tbl>
    <w:p>
      <w:pPr>
        <w:pStyle w:val="BodyText"/>
      </w:pPr>
      <w:r>
        <w:rPr>
          <w:i/>
        </w:rPr>
        <w:t xml:space="preserve">End of Extended FAQ Bank (250 questions).</w:t>
      </w:r>
      <w:r>
        <w:t xml:space="preserve"> </w:t>
      </w:r>
    </w:p>
    <w:p>
      <w:pPr>
        <w:pStyle w:val="Heading1"/>
      </w:pPr>
      <w:bookmarkStart w:id="39" w:name="the-extended-role-play-bank"/>
      <w:r>
        <w:t xml:space="preserve">THE EXTENDED ROLE-PLAY BANK</w:t>
      </w:r>
      <w:bookmarkEnd w:id="39"/>
    </w:p>
    <w:p>
      <w:pPr>
        <w:pStyle w:val="BlockText"/>
      </w:pPr>
      <w:r>
        <w:t xml:space="preserve">This volume extends the Core Playbook’s curated 25 scenarios (Section 11) to a full practice bank of 100. Role Plays 26-60 below follow the same full structure as the Core Playbook. Role Plays 61-100 (Part 2) are formatted as quick-practice drills for daily rotation once a counsellor is past initial certification.</w:t>
      </w:r>
    </w:p>
    <w:p>
      <w:r>
        <w:pict>
          <v:rect style="width:0;height:1.5pt" o:hralign="center" o:hrstd="t" o:hr="t"/>
        </w:pict>
      </w:r>
    </w:p>
    <w:p>
      <w:pPr>
        <w:pStyle w:val="Heading3"/>
      </w:pPr>
      <w:bookmarkStart w:id="40" w:name="Xc4f51ad035e84f6ce9e074a7a69b34061c23fa8"/>
      <w:r>
        <w:t xml:space="preserve">Role Play 26 — Gen Z, First Contact via WhatsApp</w:t>
      </w:r>
      <w:bookmarkEnd w:id="40"/>
    </w:p>
    <w:p>
      <w:pPr>
        <w:pStyle w:val="FirstParagraph"/>
      </w:pPr>
      <w:r>
        <w:rPr>
          <w:b/>
        </w:rPr>
        <w:t xml:space="preserve">Background:</w:t>
      </w:r>
      <w:r>
        <w:t xml:space="preserve"> </w:t>
      </w:r>
      <w:r>
        <w:t xml:space="preserve">17-year-old messages</w:t>
      </w:r>
      <w:r>
        <w:t xml:space="preserve"> </w:t>
      </w:r>
      <w:r>
        <w:t xml:space="preserve">“</w:t>
      </w:r>
      <w:r>
        <w:t xml:space="preserve">hi how much is the course</w:t>
      </w:r>
      <w:r>
        <w:t xml:space="preserve">”</w:t>
      </w:r>
      <w:r>
        <w:t xml:space="preserve"> </w:t>
      </w:r>
      <w:r>
        <w:t xml:space="preserve">with no other context.</w:t>
      </w:r>
    </w:p>
    <w:p>
      <w:pPr>
        <w:pStyle w:val="BodyText"/>
      </w:pPr>
      <w:r>
        <w:rPr>
          <w:b/>
        </w:rPr>
        <w:t xml:space="preserve">Counsellor’s thinking:</w:t>
      </w:r>
      <w:r>
        <w:t xml:space="preserve"> </w:t>
      </w:r>
      <w:r>
        <w:t xml:space="preserve">A bare price question this early is an opening move, not a real Discovery answer — don’t quote a number yet.</w:t>
      </w:r>
    </w:p>
    <w:p>
      <w:pPr>
        <w:pStyle w:val="BodyText"/>
      </w:pPr>
      <w:r>
        <w:rPr>
          <w:b/>
        </w:rPr>
        <w:t xml:space="preserve">Conversation:</w:t>
      </w:r>
    </w:p>
    <w:p>
      <w:pPr>
        <w:pStyle w:val="BlockText"/>
      </w:pPr>
      <w:r>
        <w:t xml:space="preserve">Student:</w:t>
      </w:r>
      <w:r>
        <w:t xml:space="preserve"> </w:t>
      </w:r>
      <w:r>
        <w:t xml:space="preserve">“</w:t>
      </w:r>
      <w:r>
        <w:t xml:space="preserve">Hi how much is the course</w:t>
      </w:r>
      <w:r>
        <w:t xml:space="preserve">”</w:t>
      </w:r>
      <w:r>
        <w:t xml:space="preserve"> </w:t>
      </w:r>
      <w:r>
        <w:t xml:space="preserve">Counsellor:</w:t>
      </w:r>
      <w:r>
        <w:t xml:space="preserve"> </w:t>
      </w:r>
      <w:r>
        <w:t xml:space="preserve">“</w:t>
      </w:r>
      <w:r>
        <w:t xml:space="preserve">Happy to help! Quick question first so I point you to the right one — is this for diamonds, colored stones, or design? And is it just you exploring, or are your parents involved in this too?</w:t>
      </w:r>
      <w:r>
        <w:t xml:space="preserve">”</w:t>
      </w:r>
    </w:p>
    <w:p>
      <w:pPr>
        <w:pStyle w:val="FirstParagraph"/>
      </w:pPr>
      <w:r>
        <w:rPr>
          <w:b/>
        </w:rPr>
        <w:t xml:space="preserve">Common mistake:</w:t>
      </w:r>
      <w:r>
        <w:t xml:space="preserve"> </w:t>
      </w:r>
      <w:r>
        <w:t xml:space="preserve">Quoting a fee before knowing which course even applies.</w:t>
      </w:r>
    </w:p>
    <w:p>
      <w:pPr>
        <w:pStyle w:val="BodyText"/>
      </w:pPr>
      <w:r>
        <w:rPr>
          <w:b/>
        </w:rPr>
        <w:t xml:space="preserve">Ideal approach:</w:t>
      </w:r>
      <w:r>
        <w:t xml:space="preserve"> </w:t>
      </w:r>
      <w:r>
        <w:t xml:space="preserve">Redirect a bare price question into a light Discovery opener, still over WhatsApp (9.3).</w:t>
      </w:r>
    </w:p>
    <w:p>
      <w:pPr>
        <w:pStyle w:val="BodyText"/>
      </w:pPr>
      <w:r>
        <w:rPr>
          <w:b/>
        </w:rPr>
        <w:t xml:space="preserve">Coaching tip:</w:t>
      </w:r>
      <w:r>
        <w:t xml:space="preserve"> </w:t>
      </w:r>
      <w:r>
        <w:t xml:space="preserve">WhatsApp brevity doesn’t excuse skipping Discovery — it just means Discovery happens in shorter messages.</w:t>
      </w:r>
    </w:p>
    <w:p>
      <w:r>
        <w:pict>
          <v:rect style="width:0;height:1.5pt" o:hralign="center" o:hrstd="t" o:hr="t"/>
        </w:pict>
      </w:r>
    </w:p>
    <w:p>
      <w:pPr>
        <w:pStyle w:val="Heading3"/>
      </w:pPr>
      <w:bookmarkStart w:id="41" w:name="Xaf3c5d365e2a7bd4d7a3f7cd5717c07d0186f31"/>
      <w:r>
        <w:t xml:space="preserve">Role Play 27 — Gen Z, Regrets an Earlier Choice</w:t>
      </w:r>
      <w:bookmarkEnd w:id="41"/>
    </w:p>
    <w:p>
      <w:pPr>
        <w:pStyle w:val="FirstParagraph"/>
      </w:pPr>
      <w:r>
        <w:rPr>
          <w:b/>
        </w:rPr>
        <w:t xml:space="preserve">Background:</w:t>
      </w:r>
      <w:r>
        <w:t xml:space="preserve"> </w:t>
      </w:r>
      <w:r>
        <w:t xml:space="preserve">Enrolled in Diamond Essentials on a whim; now realizes design (JewelPad) is the real interest.</w:t>
      </w:r>
    </w:p>
    <w:p>
      <w:pPr>
        <w:pStyle w:val="BodyText"/>
      </w:pPr>
      <w:r>
        <w:rPr>
          <w:b/>
        </w:rPr>
        <w:t xml:space="preserve">Conversation:</w:t>
      </w:r>
    </w:p>
    <w:p>
      <w:pPr>
        <w:pStyle w:val="BlockText"/>
      </w:pPr>
      <w:r>
        <w:t xml:space="preserve">Student:</w:t>
      </w:r>
      <w:r>
        <w:t xml:space="preserve"> </w:t>
      </w:r>
      <w:r>
        <w:t xml:space="preserve">“</w:t>
      </w:r>
      <w:r>
        <w:t xml:space="preserve">I think I picked the wrong thing, I actually like design more.</w:t>
      </w:r>
      <w:r>
        <w:t xml:space="preserve">”</w:t>
      </w:r>
      <w:r>
        <w:t xml:space="preserve"> </w:t>
      </w:r>
      <w:r>
        <w:t xml:space="preserve">Counsellor:</w:t>
      </w:r>
      <w:r>
        <w:t xml:space="preserve"> </w:t>
      </w:r>
      <w:r>
        <w:t xml:space="preserve">“</w:t>
      </w:r>
      <w:r>
        <w:t xml:space="preserve">That’s really useful to realize now rather than later — JewelPad is a completely separate track, and Diamond Essentials still gave you a useful foundation either way. Let’s talk about what a switch would look like.</w:t>
      </w:r>
      <w:r>
        <w:t xml:space="preserve">”</w:t>
      </w:r>
    </w:p>
    <w:p>
      <w:pPr>
        <w:pStyle w:val="FirstParagraph"/>
      </w:pPr>
      <w:r>
        <w:rPr>
          <w:b/>
        </w:rPr>
        <w:t xml:space="preserve">Common mistake:</w:t>
      </w:r>
      <w:r>
        <w:t xml:space="preserve"> </w:t>
      </w:r>
      <w:r>
        <w:t xml:space="preserve">Treating the switch request as a loss rather than a legitimate correction.</w:t>
      </w:r>
    </w:p>
    <w:p>
      <w:pPr>
        <w:pStyle w:val="BodyText"/>
      </w:pPr>
      <w:r>
        <w:rPr>
          <w:b/>
        </w:rPr>
        <w:t xml:space="preserve">Ideal approach:</w:t>
      </w:r>
      <w:r>
        <w:t xml:space="preserve"> </w:t>
      </w:r>
      <w:r>
        <w:t xml:space="preserve">Normalize course correction as a sign of good self-awareness, not a problem.</w:t>
      </w:r>
    </w:p>
    <w:p>
      <w:pPr>
        <w:pStyle w:val="BodyText"/>
      </w:pPr>
      <w:r>
        <w:rPr>
          <w:b/>
        </w:rPr>
        <w:t xml:space="preserve">Coaching tip:</w:t>
      </w:r>
      <w:r>
        <w:t xml:space="preserve"> </w:t>
      </w:r>
      <w:r>
        <w:t xml:space="preserve">A student willing to say</w:t>
      </w:r>
      <w:r>
        <w:t xml:space="preserve"> </w:t>
      </w:r>
      <w:r>
        <w:t xml:space="preserve">“</w:t>
      </w:r>
      <w:r>
        <w:t xml:space="preserve">I picked wrong</w:t>
      </w:r>
      <w:r>
        <w:t xml:space="preserve">”</w:t>
      </w:r>
      <w:r>
        <w:t xml:space="preserve"> </w:t>
      </w:r>
      <w:r>
        <w:t xml:space="preserve">is showing exactly the honesty this handbook asks of counsellors — mirror it back.</w:t>
      </w:r>
    </w:p>
    <w:p>
      <w:r>
        <w:pict>
          <v:rect style="width:0;height:1.5pt" o:hralign="center" o:hrstd="t" o:hr="t"/>
        </w:pict>
      </w:r>
    </w:p>
    <w:p>
      <w:pPr>
        <w:pStyle w:val="Heading3"/>
      </w:pPr>
      <w:bookmarkStart w:id="42" w:name="X1f07254848469aa306ad8392102980fa193430b"/>
      <w:r>
        <w:t xml:space="preserve">Role Play 28 — Millennial, Prefers Email Only</w:t>
      </w:r>
      <w:bookmarkEnd w:id="42"/>
    </w:p>
    <w:p>
      <w:pPr>
        <w:pStyle w:val="FirstParagraph"/>
      </w:pPr>
      <w:r>
        <w:rPr>
          <w:b/>
        </w:rPr>
        <w:t xml:space="preserve">Background:</w:t>
      </w:r>
      <w:r>
        <w:t xml:space="preserve"> </w:t>
      </w:r>
      <w:r>
        <w:t xml:space="preserve">Working professional explicitly avoids calls, wants everything over email.</w:t>
      </w:r>
    </w:p>
    <w:p>
      <w:pPr>
        <w:pStyle w:val="BodyText"/>
      </w:pPr>
      <w:r>
        <w:rPr>
          <w:b/>
        </w:rPr>
        <w:t xml:space="preserve">Conversation:</w:t>
      </w:r>
    </w:p>
    <w:p>
      <w:pPr>
        <w:pStyle w:val="BlockText"/>
      </w:pPr>
      <w:r>
        <w:t xml:space="preserve">Student (email):</w:t>
      </w:r>
      <w:r>
        <w:t xml:space="preserve"> </w:t>
      </w:r>
      <w:r>
        <w:t xml:space="preserve">“</w:t>
      </w:r>
      <w:r>
        <w:t xml:space="preserve">I’d prefer not to hop on a call — could you just send details?</w:t>
      </w:r>
      <w:r>
        <w:t xml:space="preserve">”</w:t>
      </w:r>
      <w:r>
        <w:t xml:space="preserve"> </w:t>
      </w:r>
      <w:r>
        <w:t xml:space="preserve">Counsellor (email):</w:t>
      </w:r>
      <w:r>
        <w:t xml:space="preserve"> </w:t>
      </w:r>
      <w:r>
        <w:t xml:space="preserve">“</w:t>
      </w:r>
      <w:r>
        <w:t xml:space="preserve">Of course — happy to work this way. To point you to the right course rather than a generic brochure, could you share a bit about what you’re hoping this leads to, and your rough timeline?</w:t>
      </w:r>
      <w:r>
        <w:t xml:space="preserve">”</w:t>
      </w:r>
    </w:p>
    <w:p>
      <w:pPr>
        <w:pStyle w:val="FirstParagraph"/>
      </w:pPr>
      <w:r>
        <w:rPr>
          <w:b/>
        </w:rPr>
        <w:t xml:space="preserve">Common mistake:</w:t>
      </w:r>
      <w:r>
        <w:t xml:space="preserve"> </w:t>
      </w:r>
      <w:r>
        <w:t xml:space="preserve">Sending a generic brochure without any Discovery at all because the channel feels less personal.</w:t>
      </w:r>
    </w:p>
    <w:p>
      <w:pPr>
        <w:pStyle w:val="BodyText"/>
      </w:pPr>
      <w:r>
        <w:rPr>
          <w:b/>
        </w:rPr>
        <w:t xml:space="preserve">Ideal approach:</w:t>
      </w:r>
      <w:r>
        <w:t xml:space="preserve"> </w:t>
      </w:r>
      <w:r>
        <w:t xml:space="preserve">Run Discovery in writing — it’s slower, but skipping it is still a mistake (9.4).</w:t>
      </w:r>
    </w:p>
    <w:p>
      <w:pPr>
        <w:pStyle w:val="BodyText"/>
      </w:pPr>
      <w:r>
        <w:rPr>
          <w:b/>
        </w:rPr>
        <w:t xml:space="preserve">Coaching tip:</w:t>
      </w:r>
      <w:r>
        <w:t xml:space="preserve"> </w:t>
      </w:r>
      <w:r>
        <w:t xml:space="preserve">Channel preference changes the format of Discovery, never whether it happens.</w:t>
      </w:r>
    </w:p>
    <w:p>
      <w:r>
        <w:pict>
          <v:rect style="width:0;height:1.5pt" o:hralign="center" o:hrstd="t" o:hr="t"/>
        </w:pict>
      </w:r>
    </w:p>
    <w:p>
      <w:pPr>
        <w:pStyle w:val="Heading3"/>
      </w:pPr>
      <w:bookmarkStart w:id="43" w:name="X8faac17968dbc3493c58c63094a31d65672d7df"/>
      <w:r>
        <w:t xml:space="preserve">Role Play 29 — Millennial, LinkedIn DM Wants to Skip Ahead</w:t>
      </w:r>
      <w:bookmarkEnd w:id="43"/>
    </w:p>
    <w:p>
      <w:pPr>
        <w:pStyle w:val="FirstParagraph"/>
      </w:pPr>
      <w:r>
        <w:rPr>
          <w:b/>
        </w:rPr>
        <w:t xml:space="preserve">Background:</w:t>
      </w:r>
      <w:r>
        <w:t xml:space="preserve"> </w:t>
      </w:r>
      <w:r>
        <w:t xml:space="preserve">Connects on LinkedIn, immediately asks to</w:t>
      </w:r>
      <w:r>
        <w:t xml:space="preserve"> </w:t>
      </w:r>
      <w:r>
        <w:t xml:space="preserve">“</w:t>
      </w:r>
      <w:r>
        <w:t xml:space="preserve">just send the enrolment link.</w:t>
      </w:r>
      <w:r>
        <w:t xml:space="preserve">”</w:t>
      </w:r>
    </w:p>
    <w:p>
      <w:pPr>
        <w:pStyle w:val="BodyText"/>
      </w:pPr>
      <w:r>
        <w:rPr>
          <w:b/>
        </w:rPr>
        <w:t xml:space="preserve">Conversation:</w:t>
      </w:r>
      <w:r>
        <w:t xml:space="preserve"> </w:t>
      </w:r>
      <w:r>
        <w:t xml:space="preserve">&gt; Counsellor:</w:t>
      </w:r>
      <w:r>
        <w:t xml:space="preserve"> </w:t>
      </w:r>
      <w:r>
        <w:t xml:space="preserve">“</w:t>
      </w:r>
      <w:r>
        <w:t xml:space="preserve">I can absolutely do that — I’d just hate for you to enroll in something that isn’t the best fit. Two quick questions and I’ll have exactly the right link for you.</w:t>
      </w:r>
      <w:r>
        <w:t xml:space="preserve">”</w:t>
      </w:r>
    </w:p>
    <w:p>
      <w:pPr>
        <w:pStyle w:val="BodyText"/>
      </w:pPr>
      <w:r>
        <w:rPr>
          <w:b/>
        </w:rPr>
        <w:t xml:space="preserve">Common mistake:</w:t>
      </w:r>
      <w:r>
        <w:t xml:space="preserve"> </w:t>
      </w:r>
      <w:r>
        <w:t xml:space="preserve">Complying immediately to seem efficient, skipping fit-checking entirely.</w:t>
      </w:r>
    </w:p>
    <w:p>
      <w:pPr>
        <w:pStyle w:val="BodyText"/>
      </w:pPr>
      <w:r>
        <w:rPr>
          <w:b/>
        </w:rPr>
        <w:t xml:space="preserve">Ideal approach:</w:t>
      </w:r>
      <w:r>
        <w:t xml:space="preserve"> </w:t>
      </w:r>
      <w:r>
        <w:t xml:space="preserve">One or two fast Discovery questions before sending any link, even to an eager, senior-sounding lead.</w:t>
      </w:r>
    </w:p>
    <w:p>
      <w:pPr>
        <w:pStyle w:val="BodyText"/>
      </w:pPr>
      <w:r>
        <w:rPr>
          <w:b/>
        </w:rPr>
        <w:t xml:space="preserve">Coaching tip:</w:t>
      </w:r>
      <w:r>
        <w:t xml:space="preserve"> </w:t>
      </w:r>
      <w:r>
        <w:t xml:space="preserve">Efficiency-seeking leads still deserve the two-minute version of Discovery — not zero.</w:t>
      </w:r>
    </w:p>
    <w:p>
      <w:r>
        <w:pict>
          <v:rect style="width:0;height:1.5pt" o:hralign="center" o:hrstd="t" o:hr="t"/>
        </w:pict>
      </w:r>
    </w:p>
    <w:p>
      <w:pPr>
        <w:pStyle w:val="Heading3"/>
      </w:pPr>
      <w:bookmarkStart w:id="44" w:name="Xac75520f92e832e8a3c41d74c0958635c9ad955"/>
      <w:r>
        <w:t xml:space="preserve">Role Play 30 — Career Changer, Very Tight Budget After Layoff</w:t>
      </w:r>
      <w:bookmarkEnd w:id="44"/>
    </w:p>
    <w:p>
      <w:pPr>
        <w:pStyle w:val="FirstParagraph"/>
      </w:pPr>
      <w:r>
        <w:rPr>
          <w:b/>
        </w:rPr>
        <w:t xml:space="preserve">Background:</w:t>
      </w:r>
      <w:r>
        <w:t xml:space="preserve"> </w:t>
      </w:r>
      <w:r>
        <w:t xml:space="preserve">Recently laid off, serious interest, minimal savings.</w:t>
      </w:r>
    </w:p>
    <w:p>
      <w:pPr>
        <w:pStyle w:val="BodyText"/>
      </w:pPr>
      <w:r>
        <w:rPr>
          <w:b/>
        </w:rPr>
        <w:t xml:space="preserve">Conversation:</w:t>
      </w:r>
      <w:r>
        <w:t xml:space="preserve"> </w:t>
      </w:r>
      <w:r>
        <w:t xml:space="preserve">&gt; Student:</w:t>
      </w:r>
      <w:r>
        <w:t xml:space="preserve"> </w:t>
      </w:r>
      <w:r>
        <w:t xml:space="preserve">“</w:t>
      </w:r>
      <w:r>
        <w:t xml:space="preserve">I really want to do this but I genuinely can’t afford much right now.</w:t>
      </w:r>
      <w:r>
        <w:t xml:space="preserve">”</w:t>
      </w:r>
      <w:r>
        <w:t xml:space="preserve"> </w:t>
      </w:r>
      <w:r>
        <w:t xml:space="preserve">&gt; Counsellor:</w:t>
      </w:r>
      <w:r>
        <w:t xml:space="preserve"> </w:t>
      </w:r>
      <w:r>
        <w:t xml:space="preserve">“</w:t>
      </w:r>
      <w:r>
        <w:t xml:space="preserve">Thank you for being upfront — let’s build a plan that respects that. A shorter, lower-cost course now, with a clear path to the fuller program once you’re back on your feet, is a completely legitimate way to start.</w:t>
      </w:r>
      <w:r>
        <w:t xml:space="preserve">”</w:t>
      </w:r>
    </w:p>
    <w:p>
      <w:pPr>
        <w:pStyle w:val="BodyText"/>
      </w:pPr>
      <w:r>
        <w:rPr>
          <w:b/>
        </w:rPr>
        <w:t xml:space="preserve">Common mistake:</w:t>
      </w:r>
      <w:r>
        <w:t xml:space="preserve"> </w:t>
      </w:r>
      <w:r>
        <w:t xml:space="preserve">Pushing to</w:t>
      </w:r>
      <w:r>
        <w:t xml:space="preserve"> </w:t>
      </w:r>
      <w:r>
        <w:t xml:space="preserve">“</w:t>
      </w:r>
      <w:r>
        <w:t xml:space="preserve">make it work</w:t>
      </w:r>
      <w:r>
        <w:t xml:space="preserve">”</w:t>
      </w:r>
      <w:r>
        <w:t xml:space="preserve"> </w:t>
      </w:r>
      <w:r>
        <w:t xml:space="preserve">for the full program via aggressive EMI framing.</w:t>
      </w:r>
    </w:p>
    <w:p>
      <w:pPr>
        <w:pStyle w:val="BodyText"/>
      </w:pPr>
      <w:r>
        <w:rPr>
          <w:b/>
        </w:rPr>
        <w:t xml:space="preserve">Ideal approach:</w:t>
      </w:r>
      <w:r>
        <w:t xml:space="preserve"> </w:t>
      </w:r>
      <w:r>
        <w:t xml:space="preserve">Staged learning path, honestly presented (3.6, 8.1).</w:t>
      </w:r>
    </w:p>
    <w:p>
      <w:pPr>
        <w:pStyle w:val="BodyText"/>
      </w:pPr>
      <w:r>
        <w:rPr>
          <w:b/>
        </w:rPr>
        <w:t xml:space="preserve">Coaching tip:</w:t>
      </w:r>
      <w:r>
        <w:t xml:space="preserve"> </w:t>
      </w:r>
      <w:r>
        <w:t xml:space="preserve">Financial constraint should change the path, never the honesty of the conversation (Role Play 25 principle).</w:t>
      </w:r>
    </w:p>
    <w:p>
      <w:r>
        <w:pict>
          <v:rect style="width:0;height:1.5pt" o:hralign="center" o:hrstd="t" o:hr="t"/>
        </w:pict>
      </w:r>
    </w:p>
    <w:p>
      <w:pPr>
        <w:pStyle w:val="Heading3"/>
      </w:pPr>
      <w:bookmarkStart w:id="45" w:name="Xd664974827c7b9d74658d418230c18097099f05"/>
      <w:r>
        <w:t xml:space="preserve">Role Play 31 — Career Changer, Relocating Mid-Decision</w:t>
      </w:r>
      <w:bookmarkEnd w:id="45"/>
    </w:p>
    <w:p>
      <w:pPr>
        <w:pStyle w:val="FirstParagraph"/>
      </w:pPr>
      <w:r>
        <w:rPr>
          <w:b/>
        </w:rPr>
        <w:t xml:space="preserve">Background:</w:t>
      </w:r>
      <w:r>
        <w:t xml:space="preserve"> </w:t>
      </w:r>
      <w:r>
        <w:t xml:space="preserve">Moving cities in two months for a spouse’s job; unsure which centre to commit to.</w:t>
      </w:r>
    </w:p>
    <w:p>
      <w:pPr>
        <w:pStyle w:val="BodyText"/>
      </w:pPr>
      <w:r>
        <w:rPr>
          <w:b/>
        </w:rPr>
        <w:t xml:space="preserve">Conversation:</w:t>
      </w:r>
      <w:r>
        <w:t xml:space="preserve"> </w:t>
      </w:r>
      <w:r>
        <w:t xml:space="preserve">&gt; Student:</w:t>
      </w:r>
      <w:r>
        <w:t xml:space="preserve"> </w:t>
      </w:r>
      <w:r>
        <w:t xml:space="preserve">“</w:t>
      </w:r>
      <w:r>
        <w:t xml:space="preserve">I’m moving in two months, not sure if I should start here or wait.</w:t>
      </w:r>
      <w:r>
        <w:t xml:space="preserve">”</w:t>
      </w:r>
      <w:r>
        <w:t xml:space="preserve"> </w:t>
      </w:r>
      <w:r>
        <w:t xml:space="preserve">&gt; Counsellor:</w:t>
      </w:r>
      <w:r>
        <w:t xml:space="preserve"> </w:t>
      </w:r>
      <w:r>
        <w:t xml:space="preserve">“</w:t>
      </w:r>
      <w:r>
        <w:t xml:space="preserve">Let’s check whether the batch you’d start here would let you transfer to the new city’s centre, or whether it makes more sense to wait and start fresh there — I don’t want you losing progress midway.</w:t>
      </w:r>
      <w:r>
        <w:t xml:space="preserve">”</w:t>
      </w:r>
    </w:p>
    <w:p>
      <w:pPr>
        <w:pStyle w:val="BodyText"/>
      </w:pPr>
      <w:r>
        <w:rPr>
          <w:b/>
        </w:rPr>
        <w:t xml:space="preserve">Common mistake:</w:t>
      </w:r>
      <w:r>
        <w:t xml:space="preserve"> </w:t>
      </w:r>
      <w:r>
        <w:t xml:space="preserve">Enrolling the student immediately without addressing the relocation logistics.</w:t>
      </w:r>
    </w:p>
    <w:p>
      <w:pPr>
        <w:pStyle w:val="BodyText"/>
      </w:pPr>
      <w:r>
        <w:rPr>
          <w:b/>
        </w:rPr>
        <w:t xml:space="preserve">Ideal approach:</w:t>
      </w:r>
      <w:r>
        <w:t xml:space="preserve"> </w:t>
      </w:r>
      <w:r>
        <w:t xml:space="preserve">Confirm actual cross-centre transfer policy before recommending timing (Extended FAQ #159).</w:t>
      </w:r>
    </w:p>
    <w:p>
      <w:pPr>
        <w:pStyle w:val="BodyText"/>
      </w:pPr>
      <w:r>
        <w:rPr>
          <w:b/>
        </w:rPr>
        <w:t xml:space="preserve">Coaching tip:</w:t>
      </w:r>
      <w:r>
        <w:t xml:space="preserve"> </w:t>
      </w:r>
      <w:r>
        <w:t xml:space="preserve">Logistics questions deserve the same honesty as fee questions — check, don’t guess.</w:t>
      </w:r>
    </w:p>
    <w:p>
      <w:r>
        <w:pict>
          <v:rect style="width:0;height:1.5pt" o:hralign="center" o:hrstd="t" o:hr="t"/>
        </w:pict>
      </w:r>
    </w:p>
    <w:p>
      <w:pPr>
        <w:pStyle w:val="Heading3"/>
      </w:pPr>
      <w:bookmarkStart w:id="46" w:name="Xf479c65d0911b1d8c27e48b8ae1f721ae0436a1"/>
      <w:r>
        <w:t xml:space="preserve">Role Play 32 — Parent, Safety/Scam Concern on Video Call</w:t>
      </w:r>
      <w:bookmarkEnd w:id="46"/>
    </w:p>
    <w:p>
      <w:pPr>
        <w:pStyle w:val="FirstParagraph"/>
      </w:pPr>
      <w:r>
        <w:rPr>
          <w:b/>
        </w:rPr>
        <w:t xml:space="preserve">Background:</w:t>
      </w:r>
      <w:r>
        <w:t xml:space="preserve"> </w:t>
      </w:r>
      <w:r>
        <w:t xml:space="preserve">Parent joins a video call specifically worried this could be a scam operation.</w:t>
      </w:r>
    </w:p>
    <w:p>
      <w:pPr>
        <w:pStyle w:val="BodyText"/>
      </w:pPr>
      <w:r>
        <w:rPr>
          <w:b/>
        </w:rPr>
        <w:t xml:space="preserve">Conversation:</w:t>
      </w:r>
      <w:r>
        <w:t xml:space="preserve"> </w:t>
      </w:r>
      <w:r>
        <w:t xml:space="preserve">&gt; Parent:</w:t>
      </w:r>
      <w:r>
        <w:t xml:space="preserve"> </w:t>
      </w:r>
      <w:r>
        <w:t xml:space="preserve">“</w:t>
      </w:r>
      <w:r>
        <w:t xml:space="preserve">I’ve heard of institutes that just take your money and disappear — how do I know this isn’t that?</w:t>
      </w:r>
      <w:r>
        <w:t xml:space="preserve">”</w:t>
      </w:r>
      <w:r>
        <w:t xml:space="preserve"> </w:t>
      </w:r>
      <w:r>
        <w:t xml:space="preserve">&gt; Counsellor:</w:t>
      </w:r>
      <w:r>
        <w:t xml:space="preserve"> </w:t>
      </w:r>
      <w:r>
        <w:t xml:space="preserve">“</w:t>
      </w:r>
      <w:r>
        <w:t xml:space="preserve">That’s a completely fair thing to check before any payment — let me walk you through IGI’s history, show you our physical centre details, and send documentation you can verify independently before deciding anything.</w:t>
      </w:r>
      <w:r>
        <w:t xml:space="preserve">”</w:t>
      </w:r>
    </w:p>
    <w:p>
      <w:pPr>
        <w:pStyle w:val="BodyText"/>
      </w:pPr>
      <w:r>
        <w:rPr>
          <w:b/>
        </w:rPr>
        <w:t xml:space="preserve">Common mistake:</w:t>
      </w:r>
      <w:r>
        <w:t xml:space="preserve"> </w:t>
      </w:r>
      <w:r>
        <w:t xml:space="preserve">Reacting defensively to being compared to a scam.</w:t>
      </w:r>
    </w:p>
    <w:p>
      <w:pPr>
        <w:pStyle w:val="BodyText"/>
      </w:pPr>
      <w:r>
        <w:rPr>
          <w:b/>
        </w:rPr>
        <w:t xml:space="preserve">Ideal approach:</w:t>
      </w:r>
      <w:r>
        <w:t xml:space="preserve"> </w:t>
      </w:r>
      <w:r>
        <w:t xml:space="preserve">Calm, evidence-based response inviting independent verification (Role Play 7 principle).</w:t>
      </w:r>
    </w:p>
    <w:p>
      <w:pPr>
        <w:pStyle w:val="BodyText"/>
      </w:pPr>
      <w:r>
        <w:rPr>
          <w:b/>
        </w:rPr>
        <w:t xml:space="preserve">Coaching tip:</w:t>
      </w:r>
      <w:r>
        <w:t xml:space="preserve"> </w:t>
      </w:r>
      <w:r>
        <w:t xml:space="preserve">A parent’s scam concern is a legitimacy question, not an insult — treat it as the former.</w:t>
      </w:r>
    </w:p>
    <w:p>
      <w:r>
        <w:pict>
          <v:rect style="width:0;height:1.5pt" o:hralign="center" o:hrstd="t" o:hr="t"/>
        </w:pict>
      </w:r>
    </w:p>
    <w:p>
      <w:pPr>
        <w:pStyle w:val="Heading3"/>
      </w:pPr>
      <w:bookmarkStart w:id="47" w:name="Xac524ab71580e7a08542113cecfedc9751c1964"/>
      <w:r>
        <w:t xml:space="preserve">Role Play 33 — Parent, Aggressive Discount Negotiation</w:t>
      </w:r>
      <w:bookmarkEnd w:id="47"/>
    </w:p>
    <w:p>
      <w:pPr>
        <w:pStyle w:val="FirstParagraph"/>
      </w:pPr>
      <w:r>
        <w:rPr>
          <w:b/>
        </w:rPr>
        <w:t xml:space="preserve">Background:</w:t>
      </w:r>
      <w:r>
        <w:t xml:space="preserve"> </w:t>
      </w:r>
      <w:r>
        <w:t xml:space="preserve">Parent tries to negotiate a large, unofficial discount, citing</w:t>
      </w:r>
      <w:r>
        <w:t xml:space="preserve"> </w:t>
      </w:r>
      <w:r>
        <w:t xml:space="preserve">“</w:t>
      </w:r>
      <w:r>
        <w:t xml:space="preserve">everyone gets a deal.</w:t>
      </w:r>
      <w:r>
        <w:t xml:space="preserve">”</w:t>
      </w:r>
    </w:p>
    <w:p>
      <w:pPr>
        <w:pStyle w:val="BodyText"/>
      </w:pPr>
      <w:r>
        <w:rPr>
          <w:b/>
        </w:rPr>
        <w:t xml:space="preserve">Conversation:</w:t>
      </w:r>
      <w:r>
        <w:t xml:space="preserve"> </w:t>
      </w:r>
      <w:r>
        <w:t xml:space="preserve">&gt; Parent:</w:t>
      </w:r>
      <w:r>
        <w:t xml:space="preserve"> </w:t>
      </w:r>
      <w:r>
        <w:t xml:space="preserve">“</w:t>
      </w:r>
      <w:r>
        <w:t xml:space="preserve">Just give us a proper discount, I know institutes always have room to move.</w:t>
      </w:r>
      <w:r>
        <w:t xml:space="preserve">”</w:t>
      </w:r>
      <w:r>
        <w:t xml:space="preserve"> </w:t>
      </w:r>
      <w:r>
        <w:t xml:space="preserve">&gt; Counsellor:</w:t>
      </w:r>
      <w:r>
        <w:t xml:space="preserve"> </w:t>
      </w:r>
      <w:r>
        <w:t xml:space="preserve">“</w:t>
      </w:r>
      <w:r>
        <w:t xml:space="preserve">I understand wanting the best possible value — I can only offer what’s officially approved, but let me show you the current EMI options and any active approved offers so you’re getting the full genuine picture.</w:t>
      </w:r>
      <w:r>
        <w:t xml:space="preserve">”</w:t>
      </w:r>
    </w:p>
    <w:p>
      <w:pPr>
        <w:pStyle w:val="BodyText"/>
      </w:pPr>
      <w:r>
        <w:rPr>
          <w:b/>
        </w:rPr>
        <w:t xml:space="preserve">Common mistake:</w:t>
      </w:r>
      <w:r>
        <w:t xml:space="preserve"> </w:t>
      </w:r>
      <w:r>
        <w:t xml:space="preserve">Inventing an unauthorized discount to close the conversation.</w:t>
      </w:r>
    </w:p>
    <w:p>
      <w:pPr>
        <w:pStyle w:val="BodyText"/>
      </w:pPr>
      <w:r>
        <w:rPr>
          <w:b/>
        </w:rPr>
        <w:t xml:space="preserve">Ideal approach:</w:t>
      </w:r>
      <w:r>
        <w:t xml:space="preserve"> </w:t>
      </w:r>
      <w:r>
        <w:t xml:space="preserve">Hold the line on official pricing while offering every legitimate flexibility available (8.7, Code of Ethics 1.6).</w:t>
      </w:r>
    </w:p>
    <w:p>
      <w:pPr>
        <w:pStyle w:val="BodyText"/>
      </w:pPr>
      <w:r>
        <w:rPr>
          <w:b/>
        </w:rPr>
        <w:t xml:space="preserve">Coaching tip:</w:t>
      </w:r>
      <w:r>
        <w:t xml:space="preserve"> </w:t>
      </w:r>
      <w:r>
        <w:t xml:space="preserve">Firm, warm, and honest beats flexible-but-dishonest every time — the latter creates future liability.</w:t>
      </w:r>
    </w:p>
    <w:p>
      <w:r>
        <w:pict>
          <v:rect style="width:0;height:1.5pt" o:hralign="center" o:hrstd="t" o:hr="t"/>
        </w:pict>
      </w:r>
    </w:p>
    <w:p>
      <w:pPr>
        <w:pStyle w:val="Heading3"/>
      </w:pPr>
      <w:bookmarkStart w:id="48" w:name="X3ace7571f03c9fd2f56de5b2ee5a25131ccc3f7"/>
      <w:r>
        <w:t xml:space="preserve">Role Play 34 — Luxury Aspirant, Already in Luxury Retail Elsewhere</w:t>
      </w:r>
      <w:bookmarkEnd w:id="48"/>
    </w:p>
    <w:p>
      <w:pPr>
        <w:pStyle w:val="FirstParagraph"/>
      </w:pPr>
      <w:r>
        <w:rPr>
          <w:b/>
        </w:rPr>
        <w:t xml:space="preserve">Background:</w:t>
      </w:r>
      <w:r>
        <w:t xml:space="preserve"> </w:t>
      </w:r>
      <w:r>
        <w:t xml:space="preserve">Works at a luxury fashion (non-jewellery) boutique, wants to pivot into luxury jewellery specifically.</w:t>
      </w:r>
    </w:p>
    <w:p>
      <w:pPr>
        <w:pStyle w:val="BodyText"/>
      </w:pPr>
      <w:r>
        <w:rPr>
          <w:b/>
        </w:rPr>
        <w:t xml:space="preserve">Conversation:</w:t>
      </w:r>
      <w:r>
        <w:t xml:space="preserve"> </w:t>
      </w:r>
      <w:r>
        <w:t xml:space="preserve">&gt; Student:</w:t>
      </w:r>
      <w:r>
        <w:t xml:space="preserve"> </w:t>
      </w:r>
      <w:r>
        <w:t xml:space="preserve">“</w:t>
      </w:r>
      <w:r>
        <w:t xml:space="preserve">I already work in luxury retail, just not jewellery — how much of a jump is this really?</w:t>
      </w:r>
      <w:r>
        <w:t xml:space="preserve">”</w:t>
      </w:r>
      <w:r>
        <w:t xml:space="preserve"> </w:t>
      </w:r>
      <w:r>
        <w:t xml:space="preserve">&gt; Counsellor:</w:t>
      </w:r>
      <w:r>
        <w:t xml:space="preserve"> </w:t>
      </w:r>
      <w:r>
        <w:t xml:space="preserve">“</w:t>
      </w:r>
      <w:r>
        <w:t xml:space="preserve">Your client-facing experience is a real asset already — what you’d be adding is the product credibility specific to gemstones and diamonds. Graduate Gemologist plus your existing retail polish is a strong combination.</w:t>
      </w:r>
      <w:r>
        <w:t xml:space="preserve">”</w:t>
      </w:r>
    </w:p>
    <w:p>
      <w:pPr>
        <w:pStyle w:val="BodyText"/>
      </w:pPr>
      <w:r>
        <w:rPr>
          <w:b/>
        </w:rPr>
        <w:t xml:space="preserve">Common mistake:</w:t>
      </w:r>
      <w:r>
        <w:t xml:space="preserve"> </w:t>
      </w:r>
      <w:r>
        <w:t xml:space="preserve">Treating existing luxury experience as irrelevant because it’s in a different product category.</w:t>
      </w:r>
    </w:p>
    <w:p>
      <w:pPr>
        <w:pStyle w:val="BodyText"/>
      </w:pPr>
      <w:r>
        <w:rPr>
          <w:b/>
        </w:rPr>
        <w:t xml:space="preserve">Ideal approach:</w:t>
      </w:r>
      <w:r>
        <w:t xml:space="preserve"> </w:t>
      </w:r>
      <w:r>
        <w:t xml:space="preserve">Explicitly validate transferable retail skill, add the missing technical credential (5.4).</w:t>
      </w:r>
    </w:p>
    <w:p>
      <w:pPr>
        <w:pStyle w:val="BodyText"/>
      </w:pPr>
      <w:r>
        <w:rPr>
          <w:b/>
        </w:rPr>
        <w:t xml:space="preserve">Coaching tip:</w:t>
      </w:r>
      <w:r>
        <w:t xml:space="preserve"> </w:t>
      </w:r>
      <w:r>
        <w:t xml:space="preserve">“</w:t>
      </w:r>
      <w:r>
        <w:t xml:space="preserve">Different category, same skill</w:t>
      </w:r>
      <w:r>
        <w:t xml:space="preserve">”</w:t>
      </w:r>
      <w:r>
        <w:t xml:space="preserve"> </w:t>
      </w:r>
      <w:r>
        <w:t xml:space="preserve">is a valuable reframe for cross-category luxury movers.</w:t>
      </w:r>
    </w:p>
    <w:p>
      <w:r>
        <w:pict>
          <v:rect style="width:0;height:1.5pt" o:hralign="center" o:hrstd="t" o:hr="t"/>
        </w:pict>
      </w:r>
    </w:p>
    <w:p>
      <w:pPr>
        <w:pStyle w:val="Heading3"/>
      </w:pPr>
      <w:bookmarkStart w:id="49" w:name="X7999529283cb60529f8150fdd76a13e79237934"/>
      <w:r>
        <w:t xml:space="preserve">Role Play 35 — Luxury Aspirant, Opportunity Cost of Quitting a Job</w:t>
      </w:r>
      <w:bookmarkEnd w:id="49"/>
    </w:p>
    <w:p>
      <w:pPr>
        <w:pStyle w:val="FirstParagraph"/>
      </w:pPr>
      <w:r>
        <w:rPr>
          <w:b/>
        </w:rPr>
        <w:t xml:space="preserve">Background:</w:t>
      </w:r>
      <w:r>
        <w:t xml:space="preserve"> </w:t>
      </w:r>
      <w:r>
        <w:t xml:space="preserve">Comfortable current job, hesitant about the income gap while studying full-time.</w:t>
      </w:r>
    </w:p>
    <w:p>
      <w:pPr>
        <w:pStyle w:val="BodyText"/>
      </w:pPr>
      <w:r>
        <w:rPr>
          <w:b/>
        </w:rPr>
        <w:t xml:space="preserve">Conversation:</w:t>
      </w:r>
      <w:r>
        <w:t xml:space="preserve"> </w:t>
      </w:r>
      <w:r>
        <w:t xml:space="preserve">&gt; Student:</w:t>
      </w:r>
      <w:r>
        <w:t xml:space="preserve"> </w:t>
      </w:r>
      <w:r>
        <w:t xml:space="preserve">“</w:t>
      </w:r>
      <w:r>
        <w:t xml:space="preserve">I don’t want to quit my job and have no income while I do this full-time.</w:t>
      </w:r>
      <w:r>
        <w:t xml:space="preserve">”</w:t>
      </w:r>
      <w:r>
        <w:t xml:space="preserve"> </w:t>
      </w:r>
      <w:r>
        <w:t xml:space="preserve">&gt; Counsellor:</w:t>
      </w:r>
      <w:r>
        <w:t xml:space="preserve"> </w:t>
      </w:r>
      <w:r>
        <w:t xml:space="preserve">“</w:t>
      </w:r>
      <w:r>
        <w:t xml:space="preserve">That’s a completely reasonable concern — let’s look at whether a weekend/evening format could get you there without the income gap at all.</w:t>
      </w:r>
      <w:r>
        <w:t xml:space="preserve">”</w:t>
      </w:r>
    </w:p>
    <w:p>
      <w:pPr>
        <w:pStyle w:val="BodyText"/>
      </w:pPr>
      <w:r>
        <w:rPr>
          <w:b/>
        </w:rPr>
        <w:t xml:space="preserve">Common mistake:</w:t>
      </w:r>
      <w:r>
        <w:t xml:space="preserve"> </w:t>
      </w:r>
      <w:r>
        <w:t xml:space="preserve">Assuming full-time is the only path and inadvertently pushing them toward an unnecessary income sacrifice.</w:t>
      </w:r>
    </w:p>
    <w:p>
      <w:pPr>
        <w:pStyle w:val="BodyText"/>
      </w:pPr>
      <w:r>
        <w:rPr>
          <w:b/>
        </w:rPr>
        <w:t xml:space="preserve">Ideal approach:</w:t>
      </w:r>
      <w:r>
        <w:t xml:space="preserve"> </w:t>
      </w:r>
      <w:r>
        <w:t xml:space="preserve">Surface format flexibility before assuming a full-time-only path (3.7).</w:t>
      </w:r>
    </w:p>
    <w:p>
      <w:pPr>
        <w:pStyle w:val="BodyText"/>
      </w:pPr>
      <w:r>
        <w:rPr>
          <w:b/>
        </w:rPr>
        <w:t xml:space="preserve">Coaching tip:</w:t>
      </w:r>
      <w:r>
        <w:t xml:space="preserve"> </w:t>
      </w:r>
      <w:r>
        <w:t xml:space="preserve">Always check whether a perceived constraint is actually a fixed constraint or just an unexamined assumption.</w:t>
      </w:r>
    </w:p>
    <w:p>
      <w:r>
        <w:pict>
          <v:rect style="width:0;height:1.5pt" o:hralign="center" o:hrstd="t" o:hr="t"/>
        </w:pict>
      </w:r>
    </w:p>
    <w:p>
      <w:pPr>
        <w:pStyle w:val="Heading3"/>
      </w:pPr>
      <w:bookmarkStart w:id="50" w:name="X7ab411323101dd1e7e922ecdb0c9538c6941d2e"/>
      <w:r>
        <w:t xml:space="preserve">Role Play 36 — Entrepreneur Graduate Wants Staff Trained Next</w:t>
      </w:r>
      <w:bookmarkEnd w:id="50"/>
    </w:p>
    <w:p>
      <w:pPr>
        <w:pStyle w:val="FirstParagraph"/>
      </w:pPr>
      <w:r>
        <w:rPr>
          <w:b/>
        </w:rPr>
        <w:t xml:space="preserve">Background:</w:t>
      </w:r>
      <w:r>
        <w:t xml:space="preserve"> </w:t>
      </w:r>
      <w:r>
        <w:t xml:space="preserve">Completed Graduate Gemologist a year ago, now running a small business, wants staff trained.</w:t>
      </w:r>
    </w:p>
    <w:p>
      <w:pPr>
        <w:pStyle w:val="BodyText"/>
      </w:pPr>
      <w:r>
        <w:rPr>
          <w:b/>
        </w:rPr>
        <w:t xml:space="preserve">Conversation:</w:t>
      </w:r>
      <w:r>
        <w:t xml:space="preserve"> </w:t>
      </w:r>
      <w:r>
        <w:t xml:space="preserve">&gt; Graduate:</w:t>
      </w:r>
      <w:r>
        <w:t xml:space="preserve"> </w:t>
      </w:r>
      <w:r>
        <w:t xml:space="preserve">“</w:t>
      </w:r>
      <w:r>
        <w:t xml:space="preserve">Now that my business is growing, I want my two new hires trained too.</w:t>
      </w:r>
      <w:r>
        <w:t xml:space="preserve">”</w:t>
      </w:r>
      <w:r>
        <w:t xml:space="preserve"> </w:t>
      </w:r>
      <w:r>
        <w:t xml:space="preserve">&gt; Counsellor:</w:t>
      </w:r>
      <w:r>
        <w:t xml:space="preserve"> </w:t>
      </w:r>
      <w:r>
        <w:t xml:space="preserve">“</w:t>
      </w:r>
      <w:r>
        <w:t xml:space="preserve">That’s a great next step — since it’s for your team rather than yourself, let’s scope this as a Corporate Program so it fits around your business hours.</w:t>
      </w:r>
      <w:r>
        <w:t xml:space="preserve">”</w:t>
      </w:r>
    </w:p>
    <w:p>
      <w:pPr>
        <w:pStyle w:val="BodyText"/>
      </w:pPr>
      <w:r>
        <w:rPr>
          <w:b/>
        </w:rPr>
        <w:t xml:space="preserve">Common mistake:</w:t>
      </w:r>
      <w:r>
        <w:t xml:space="preserve"> </w:t>
      </w:r>
      <w:r>
        <w:t xml:space="preserve">Selling two individual enrolments instead of recognizing this as a Corporate Program fit.</w:t>
      </w:r>
    </w:p>
    <w:p>
      <w:pPr>
        <w:pStyle w:val="BodyText"/>
      </w:pPr>
      <w:r>
        <w:rPr>
          <w:b/>
        </w:rPr>
        <w:t xml:space="preserve">Ideal approach:</w:t>
      </w:r>
      <w:r>
        <w:t xml:space="preserve"> </w:t>
      </w:r>
      <w:r>
        <w:t xml:space="preserve">Route existing graduates’ staffing needs to Corporate Programs (4.10).</w:t>
      </w:r>
    </w:p>
    <w:p>
      <w:pPr>
        <w:pStyle w:val="BodyText"/>
      </w:pPr>
      <w:r>
        <w:rPr>
          <w:b/>
        </w:rPr>
        <w:t xml:space="preserve">Coaching tip:</w:t>
      </w:r>
      <w:r>
        <w:t xml:space="preserve"> </w:t>
      </w:r>
      <w:r>
        <w:t xml:space="preserve">Happy graduates returning for staff training are a high-trust referral signal — treat the scoping conversation with extra care.</w:t>
      </w:r>
    </w:p>
    <w:p>
      <w:r>
        <w:pict>
          <v:rect style="width:0;height:1.5pt" o:hralign="center" o:hrstd="t" o:hr="t"/>
        </w:pict>
      </w:r>
    </w:p>
    <w:p>
      <w:pPr>
        <w:pStyle w:val="Heading3"/>
      </w:pPr>
      <w:bookmarkStart w:id="51" w:name="X7c10dcde1dc916e128351722a3d1848b3cef33a"/>
      <w:r>
        <w:t xml:space="preserve">Role Play 37 — Entrepreneur, Wants to Skip the Lab Component</w:t>
      </w:r>
      <w:bookmarkEnd w:id="51"/>
    </w:p>
    <w:p>
      <w:pPr>
        <w:pStyle w:val="FirstParagraph"/>
      </w:pPr>
      <w:r>
        <w:rPr>
          <w:b/>
        </w:rPr>
        <w:t xml:space="preserve">Background:</w:t>
      </w:r>
      <w:r>
        <w:t xml:space="preserve"> </w:t>
      </w:r>
      <w:r>
        <w:t xml:space="preserve">Time-pressured business owner wants a certificate without attending practical sessions.</w:t>
      </w:r>
    </w:p>
    <w:p>
      <w:pPr>
        <w:pStyle w:val="BodyText"/>
      </w:pPr>
      <w:r>
        <w:rPr>
          <w:b/>
        </w:rPr>
        <w:t xml:space="preserve">Conversation:</w:t>
      </w:r>
      <w:r>
        <w:t xml:space="preserve"> </w:t>
      </w:r>
      <w:r>
        <w:t xml:space="preserve">&gt; Student:</w:t>
      </w:r>
      <w:r>
        <w:t xml:space="preserve"> </w:t>
      </w:r>
      <w:r>
        <w:t xml:space="preserve">“</w:t>
      </w:r>
      <w:r>
        <w:t xml:space="preserve">Can I just skip the hands-on labs and do the theory part?</w:t>
      </w:r>
      <w:r>
        <w:t xml:space="preserve">”</w:t>
      </w:r>
      <w:r>
        <w:t xml:space="preserve"> </w:t>
      </w:r>
      <w:r>
        <w:t xml:space="preserve">&gt; Counsellor:</w:t>
      </w:r>
      <w:r>
        <w:t xml:space="preserve"> </w:t>
      </w:r>
      <w:r>
        <w:t xml:space="preserve">“</w:t>
      </w:r>
      <w:r>
        <w:t xml:space="preserve">I want to be upfront — the practical labs are what actually build the skill you’re looking for to judge stones confidently yourself. Skipping them would leave the exact gap you’re trying to close.</w:t>
      </w:r>
      <w:r>
        <w:t xml:space="preserve">”</w:t>
      </w:r>
    </w:p>
    <w:p>
      <w:pPr>
        <w:pStyle w:val="BodyText"/>
      </w:pPr>
      <w:r>
        <w:rPr>
          <w:b/>
        </w:rPr>
        <w:t xml:space="preserve">Common mistake:</w:t>
      </w:r>
      <w:r>
        <w:t xml:space="preserve"> </w:t>
      </w:r>
      <w:r>
        <w:t xml:space="preserve">Agreeing to waive practical components to close the enrolment faster.</w:t>
      </w:r>
    </w:p>
    <w:p>
      <w:pPr>
        <w:pStyle w:val="BodyText"/>
      </w:pPr>
      <w:r>
        <w:rPr>
          <w:b/>
        </w:rPr>
        <w:t xml:space="preserve">Ideal approach:</w:t>
      </w:r>
      <w:r>
        <w:t xml:space="preserve"> </w:t>
      </w:r>
      <w:r>
        <w:t xml:space="preserve">Explain honestly why the practical component is non-negotiable for genuine competence (12).</w:t>
      </w:r>
    </w:p>
    <w:p>
      <w:pPr>
        <w:pStyle w:val="BodyText"/>
      </w:pPr>
      <w:r>
        <w:rPr>
          <w:b/>
        </w:rPr>
        <w:t xml:space="preserve">Coaching tip:</w:t>
      </w:r>
      <w:r>
        <w:t xml:space="preserve"> </w:t>
      </w:r>
      <w:r>
        <w:t xml:space="preserve">Sometimes the honest answer is</w:t>
      </w:r>
      <w:r>
        <w:t xml:space="preserve"> </w:t>
      </w:r>
      <w:r>
        <w:t xml:space="preserve">“</w:t>
      </w:r>
      <w:r>
        <w:t xml:space="preserve">no, and here’s why</w:t>
      </w:r>
      <w:r>
        <w:t xml:space="preserve">”</w:t>
      </w:r>
      <w:r>
        <w:t xml:space="preserve"> </w:t>
      </w:r>
      <w:r>
        <w:t xml:space="preserve">— that’s still consultative, not obstructive.</w:t>
      </w:r>
    </w:p>
    <w:p>
      <w:r>
        <w:pict>
          <v:rect style="width:0;height:1.5pt" o:hralign="center" o:hrstd="t" o:hr="t"/>
        </w:pict>
      </w:r>
    </w:p>
    <w:p>
      <w:pPr>
        <w:pStyle w:val="Heading3"/>
      </w:pPr>
      <w:bookmarkStart w:id="52" w:name="X689335d4152951db3f477ee1862c39a9a0b7522"/>
      <w:r>
        <w:t xml:space="preserve">Role Play 38 — Working Jeweller, Manufacturer Needs QC Credential</w:t>
      </w:r>
      <w:bookmarkEnd w:id="52"/>
    </w:p>
    <w:p>
      <w:pPr>
        <w:pStyle w:val="FirstParagraph"/>
      </w:pPr>
      <w:r>
        <w:rPr>
          <w:b/>
        </w:rPr>
        <w:t xml:space="preserve">Background:</w:t>
      </w:r>
      <w:r>
        <w:t xml:space="preserve"> </w:t>
      </w:r>
      <w:r>
        <w:t xml:space="preserve">Production floor supervisor at a manufacturing unit, needs formal QC credentialing for a promotion.</w:t>
      </w:r>
    </w:p>
    <w:p>
      <w:pPr>
        <w:pStyle w:val="BodyText"/>
      </w:pPr>
      <w:r>
        <w:rPr>
          <w:b/>
        </w:rPr>
        <w:t xml:space="preserve">Conversation:</w:t>
      </w:r>
      <w:r>
        <w:t xml:space="preserve"> </w:t>
      </w:r>
      <w:r>
        <w:t xml:space="preserve">&gt; Student:</w:t>
      </w:r>
      <w:r>
        <w:t xml:space="preserve"> </w:t>
      </w:r>
      <w:r>
        <w:t xml:space="preserve">“</w:t>
      </w:r>
      <w:r>
        <w:t xml:space="preserve">My manager said I need a formal diamond grading qualification to be considered for QC lead.</w:t>
      </w:r>
      <w:r>
        <w:t xml:space="preserve">”</w:t>
      </w:r>
      <w:r>
        <w:t xml:space="preserve"> </w:t>
      </w:r>
      <w:r>
        <w:t xml:space="preserve">&gt; Counsellor:</w:t>
      </w:r>
      <w:r>
        <w:t xml:space="preserve"> </w:t>
      </w:r>
      <w:r>
        <w:t xml:space="preserve">“</w:t>
      </w:r>
      <w:r>
        <w:t xml:space="preserve">That’s a clear, practical goal — Diamond Graduate is built exactly for this. Let’s also check if your employer would support this as a Corporate Program enrolment.</w:t>
      </w:r>
      <w:r>
        <w:t xml:space="preserve">”</w:t>
      </w:r>
    </w:p>
    <w:p>
      <w:pPr>
        <w:pStyle w:val="BodyText"/>
      </w:pPr>
      <w:r>
        <w:rPr>
          <w:b/>
        </w:rPr>
        <w:t xml:space="preserve">Common mistake:</w:t>
      </w:r>
      <w:r>
        <w:t xml:space="preserve"> </w:t>
      </w:r>
      <w:r>
        <w:t xml:space="preserve">Only discussing individual enrolment without checking employer-sponsorship potential.</w:t>
      </w:r>
    </w:p>
    <w:p>
      <w:pPr>
        <w:pStyle w:val="BodyText"/>
      </w:pPr>
      <w:r>
        <w:rPr>
          <w:b/>
        </w:rPr>
        <w:t xml:space="preserve">Ideal approach:</w:t>
      </w:r>
      <w:r>
        <w:t xml:space="preserve"> </w:t>
      </w:r>
      <w:r>
        <w:t xml:space="preserve">Surface the Corporate Program/employer-sponsorship angle proactively (8.5, 4.10).</w:t>
      </w:r>
    </w:p>
    <w:p>
      <w:pPr>
        <w:pStyle w:val="BodyText"/>
      </w:pPr>
      <w:r>
        <w:rPr>
          <w:b/>
        </w:rPr>
        <w:t xml:space="preserve">Coaching tip:</w:t>
      </w:r>
      <w:r>
        <w:t xml:space="preserve"> </w:t>
      </w:r>
      <w:r>
        <w:t xml:space="preserve">Promotion-driven enquiries are often quietly employer-fundable — always ask.</w:t>
      </w:r>
    </w:p>
    <w:p>
      <w:r>
        <w:pict>
          <v:rect style="width:0;height:1.5pt" o:hralign="center" o:hrstd="t" o:hr="t"/>
        </w:pict>
      </w:r>
    </w:p>
    <w:p>
      <w:pPr>
        <w:pStyle w:val="Heading3"/>
      </w:pPr>
      <w:bookmarkStart w:id="53" w:name="X3695c8ef0c56c682fea6aa9054bd7bcd07e1c80"/>
      <w:r>
        <w:t xml:space="preserve">Role Play 39 — Working Jeweller, Family Succession Pressure vs. Personal Interest</w:t>
      </w:r>
      <w:bookmarkEnd w:id="53"/>
    </w:p>
    <w:p>
      <w:pPr>
        <w:pStyle w:val="FirstParagraph"/>
      </w:pPr>
      <w:r>
        <w:rPr>
          <w:b/>
        </w:rPr>
        <w:t xml:space="preserve">Background:</w:t>
      </w:r>
      <w:r>
        <w:t xml:space="preserve"> </w:t>
      </w:r>
      <w:r>
        <w:t xml:space="preserve">Expected to take over the family business but is personally more interested in design than trading.</w:t>
      </w:r>
    </w:p>
    <w:p>
      <w:pPr>
        <w:pStyle w:val="BodyText"/>
      </w:pPr>
      <w:r>
        <w:rPr>
          <w:b/>
        </w:rPr>
        <w:t xml:space="preserve">Conversation:</w:t>
      </w:r>
      <w:r>
        <w:t xml:space="preserve"> </w:t>
      </w:r>
      <w:r>
        <w:t xml:space="preserve">&gt; Student:</w:t>
      </w:r>
      <w:r>
        <w:t xml:space="preserve"> </w:t>
      </w:r>
      <w:r>
        <w:t xml:space="preserve">“</w:t>
      </w:r>
      <w:r>
        <w:t xml:space="preserve">My family expects me to learn trading, but I actually love the design side more.</w:t>
      </w:r>
      <w:r>
        <w:t xml:space="preserve">”</w:t>
      </w:r>
      <w:r>
        <w:t xml:space="preserve"> </w:t>
      </w:r>
      <w:r>
        <w:t xml:space="preserve">&gt; Counsellor:</w:t>
      </w:r>
      <w:r>
        <w:t xml:space="preserve"> </w:t>
      </w:r>
      <w:r>
        <w:t xml:space="preserve">“</w:t>
      </w:r>
      <w:r>
        <w:t xml:space="preserve">Those aren’t mutually exclusive — a lot of successful family businesses benefit from someone who understands both trading fundamentals and modern design. Would exploring both interest you?</w:t>
      </w:r>
      <w:r>
        <w:t xml:space="preserve">”</w:t>
      </w:r>
    </w:p>
    <w:p>
      <w:pPr>
        <w:pStyle w:val="BodyText"/>
      </w:pPr>
      <w:r>
        <w:rPr>
          <w:b/>
        </w:rPr>
        <w:t xml:space="preserve">Common mistake:</w:t>
      </w:r>
      <w:r>
        <w:t xml:space="preserve"> </w:t>
      </w:r>
      <w:r>
        <w:t xml:space="preserve">Picking a side in a family expectation conflict rather than exploring an integrative option.</w:t>
      </w:r>
    </w:p>
    <w:p>
      <w:pPr>
        <w:pStyle w:val="BodyText"/>
      </w:pPr>
      <w:r>
        <w:rPr>
          <w:b/>
        </w:rPr>
        <w:t xml:space="preserve">Ideal approach:</w:t>
      </w:r>
      <w:r>
        <w:t xml:space="preserve"> </w:t>
      </w:r>
      <w:r>
        <w:t xml:space="preserve">Offer a combined path (e.g., core trading credential plus JewelPad) that honors both the family expectation and personal interest.</w:t>
      </w:r>
    </w:p>
    <w:p>
      <w:pPr>
        <w:pStyle w:val="BodyText"/>
      </w:pPr>
      <w:r>
        <w:rPr>
          <w:b/>
        </w:rPr>
        <w:t xml:space="preserve">Coaching tip:</w:t>
      </w:r>
      <w:r>
        <w:t xml:space="preserve"> </w:t>
      </w:r>
      <w:r>
        <w:t xml:space="preserve">Family-business succession conversations often have a</w:t>
      </w:r>
      <w:r>
        <w:t xml:space="preserve"> </w:t>
      </w:r>
      <w:r>
        <w:t xml:space="preserve">“</w:t>
      </w:r>
      <w:r>
        <w:t xml:space="preserve">both/and</w:t>
      </w:r>
      <w:r>
        <w:t xml:space="preserve">”</w:t>
      </w:r>
      <w:r>
        <w:t xml:space="preserve"> </w:t>
      </w:r>
      <w:r>
        <w:t xml:space="preserve">answer hiding behind an apparent</w:t>
      </w:r>
      <w:r>
        <w:t xml:space="preserve"> </w:t>
      </w:r>
      <w:r>
        <w:t xml:space="preserve">“</w:t>
      </w:r>
      <w:r>
        <w:t xml:space="preserve">either/or</w:t>
      </w:r>
      <w:r>
        <w:t xml:space="preserve">”</w:t>
      </w:r>
      <w:r>
        <w:t xml:space="preserve"> </w:t>
      </w:r>
      <w:r>
        <w:t xml:space="preserve">framing.</w:t>
      </w:r>
    </w:p>
    <w:p>
      <w:r>
        <w:pict>
          <v:rect style="width:0;height:1.5pt" o:hralign="center" o:hrstd="t" o:hr="t"/>
        </w:pict>
      </w:r>
    </w:p>
    <w:p>
      <w:pPr>
        <w:pStyle w:val="Heading3"/>
      </w:pPr>
      <w:bookmarkStart w:id="54" w:name="X9790903de76fea217b8fa016f654b90143e1d14"/>
      <w:r>
        <w:t xml:space="preserve">Role Play 40 — International Student, UAE Time Zone via Voice Notes</w:t>
      </w:r>
      <w:bookmarkEnd w:id="54"/>
    </w:p>
    <w:p>
      <w:pPr>
        <w:pStyle w:val="FirstParagraph"/>
      </w:pPr>
      <w:r>
        <w:rPr>
          <w:b/>
        </w:rPr>
        <w:t xml:space="preserve">Background:</w:t>
      </w:r>
      <w:r>
        <w:t xml:space="preserve"> </w:t>
      </w:r>
      <w:r>
        <w:t xml:space="preserve">Dubai-based, communicates mostly via WhatsApp voice notes due to time zone gaps.</w:t>
      </w:r>
    </w:p>
    <w:p>
      <w:pPr>
        <w:pStyle w:val="BodyText"/>
      </w:pPr>
      <w:r>
        <w:rPr>
          <w:b/>
        </w:rPr>
        <w:t xml:space="preserve">Conversation:</w:t>
      </w:r>
      <w:r>
        <w:t xml:space="preserve"> </w:t>
      </w:r>
      <w:r>
        <w:t xml:space="preserve">&gt; Student (voice note):</w:t>
      </w:r>
      <w:r>
        <w:t xml:space="preserve"> </w:t>
      </w:r>
      <w:r>
        <w:t xml:space="preserve">“</w:t>
      </w:r>
      <w:r>
        <w:t xml:space="preserve">Sorry for the late message, it’s midnight here — just wanted to ask about the total cost with travel.</w:t>
      </w:r>
      <w:r>
        <w:t xml:space="preserve">”</w:t>
      </w:r>
      <w:r>
        <w:t xml:space="preserve"> </w:t>
      </w:r>
      <w:r>
        <w:t xml:space="preserve">&gt; Counsellor (voice note):</w:t>
      </w:r>
      <w:r>
        <w:t xml:space="preserve"> </w:t>
      </w:r>
      <w:r>
        <w:t xml:space="preserve">“</w:t>
      </w:r>
      <w:r>
        <w:t xml:space="preserve">No problem at all — let me put together a full breakdown including stay and travel and send it over, so you have it whenever works for you.</w:t>
      </w:r>
      <w:r>
        <w:t xml:space="preserve">”</w:t>
      </w:r>
    </w:p>
    <w:p>
      <w:pPr>
        <w:pStyle w:val="BodyText"/>
      </w:pPr>
      <w:r>
        <w:rPr>
          <w:b/>
        </w:rPr>
        <w:t xml:space="preserve">Common mistake:</w:t>
      </w:r>
      <w:r>
        <w:t xml:space="preserve"> </w:t>
      </w:r>
      <w:r>
        <w:t xml:space="preserve">Only answering the literal question asked instead of proactively giving the fuller total-cost picture.</w:t>
      </w:r>
    </w:p>
    <w:p>
      <w:pPr>
        <w:pStyle w:val="BodyText"/>
      </w:pPr>
      <w:r>
        <w:rPr>
          <w:b/>
        </w:rPr>
        <w:t xml:space="preserve">Ideal approach:</w:t>
      </w:r>
      <w:r>
        <w:t xml:space="preserve"> </w:t>
      </w:r>
      <w:r>
        <w:t xml:space="preserve">Proactive full cost-of-attendance disclosure regardless of time zone friction (2.8).</w:t>
      </w:r>
    </w:p>
    <w:p>
      <w:pPr>
        <w:pStyle w:val="BodyText"/>
      </w:pPr>
      <w:r>
        <w:rPr>
          <w:b/>
        </w:rPr>
        <w:t xml:space="preserve">Coaching tip:</w:t>
      </w:r>
      <w:r>
        <w:t xml:space="preserve"> </w:t>
      </w:r>
      <w:r>
        <w:t xml:space="preserve">Time zone gaps make proactive, complete answers even more valuable — the student can’t easily follow up in real time.</w:t>
      </w:r>
    </w:p>
    <w:p>
      <w:r>
        <w:pict>
          <v:rect style="width:0;height:1.5pt" o:hralign="center" o:hrstd="t" o:hr="t"/>
        </w:pict>
      </w:r>
    </w:p>
    <w:p>
      <w:pPr>
        <w:pStyle w:val="Heading3"/>
      </w:pPr>
      <w:bookmarkStart w:id="55" w:name="Xad157b70b51bba521f2fe017b76073081c6d531"/>
      <w:r>
        <w:t xml:space="preserve">Role Play 41 — International Student, Africa-Based Trader Wants CSG</w:t>
      </w:r>
      <w:bookmarkEnd w:id="55"/>
    </w:p>
    <w:p>
      <w:pPr>
        <w:pStyle w:val="FirstParagraph"/>
      </w:pPr>
      <w:r>
        <w:rPr>
          <w:b/>
        </w:rPr>
        <w:t xml:space="preserve">Background:</w:t>
      </w:r>
      <w:r>
        <w:t xml:space="preserve"> </w:t>
      </w:r>
      <w:r>
        <w:t xml:space="preserve">Trader from a colored-stone-producing region, wants formal grading credentials for sapphires and emeralds.</w:t>
      </w:r>
    </w:p>
    <w:p>
      <w:pPr>
        <w:pStyle w:val="BodyText"/>
      </w:pPr>
      <w:r>
        <w:rPr>
          <w:b/>
        </w:rPr>
        <w:t xml:space="preserve">Conversation:</w:t>
      </w:r>
      <w:r>
        <w:t xml:space="preserve"> </w:t>
      </w:r>
      <w:r>
        <w:t xml:space="preserve">&gt; Student:</w:t>
      </w:r>
      <w:r>
        <w:t xml:space="preserve"> </w:t>
      </w:r>
      <w:r>
        <w:t xml:space="preserve">“</w:t>
      </w:r>
      <w:r>
        <w:t xml:space="preserve">I trade rubies and emeralds already — I want the paperwork to match what I know.</w:t>
      </w:r>
      <w:r>
        <w:t xml:space="preserve">”</w:t>
      </w:r>
      <w:r>
        <w:t xml:space="preserve"> </w:t>
      </w:r>
      <w:r>
        <w:t xml:space="preserve">&gt; Counsellor:</w:t>
      </w:r>
      <w:r>
        <w:t xml:space="preserve"> </w:t>
      </w:r>
      <w:r>
        <w:t xml:space="preserve">“</w:t>
      </w:r>
      <w:r>
        <w:t xml:space="preserve">Colored Stone Graduate is specifically built for that — combined with your existing trade exposure, this should move quickly for you.</w:t>
      </w:r>
      <w:r>
        <w:t xml:space="preserve">”</w:t>
      </w:r>
    </w:p>
    <w:p>
      <w:pPr>
        <w:pStyle w:val="BodyText"/>
      </w:pPr>
      <w:r>
        <w:rPr>
          <w:b/>
        </w:rPr>
        <w:t xml:space="preserve">Common mistake:</w:t>
      </w:r>
      <w:r>
        <w:t xml:space="preserve"> </w:t>
      </w:r>
      <w:r>
        <w:t xml:space="preserve">Defaulting to the combined Graduate Gemologist program instead of the more targeted CSG.</w:t>
      </w:r>
    </w:p>
    <w:p>
      <w:pPr>
        <w:pStyle w:val="BodyText"/>
      </w:pPr>
      <w:r>
        <w:rPr>
          <w:b/>
        </w:rPr>
        <w:t xml:space="preserve">Ideal approach:</w:t>
      </w:r>
      <w:r>
        <w:t xml:space="preserve"> </w:t>
      </w:r>
      <w:r>
        <w:t xml:space="preserve">Match the specialization to the stated trade focus precisely (4.3).</w:t>
      </w:r>
    </w:p>
    <w:p>
      <w:pPr>
        <w:pStyle w:val="BodyText"/>
      </w:pPr>
      <w:r>
        <w:rPr>
          <w:b/>
        </w:rPr>
        <w:t xml:space="preserve">Coaching tip:</w:t>
      </w:r>
      <w:r>
        <w:t xml:space="preserve"> </w:t>
      </w:r>
      <w:r>
        <w:t xml:space="preserve">An already-experienced trader usually needs the credential, not the beginner curriculum — read for existing competence.</w:t>
      </w:r>
    </w:p>
    <w:p>
      <w:r>
        <w:pict>
          <v:rect style="width:0;height:1.5pt" o:hralign="center" o:hrstd="t" o:hr="t"/>
        </w:pict>
      </w:r>
    </w:p>
    <w:p>
      <w:pPr>
        <w:pStyle w:val="Heading3"/>
      </w:pPr>
      <w:bookmarkStart w:id="56" w:name="Xf7a24c4f58837e31191a21f2f8c8704b8a0cbb3"/>
      <w:r>
        <w:t xml:space="preserve">Role Play 42 — Cold Lead, Re-engagement After a Year</w:t>
      </w:r>
      <w:bookmarkEnd w:id="56"/>
    </w:p>
    <w:p>
      <w:pPr>
        <w:pStyle w:val="FirstParagraph"/>
      </w:pPr>
      <w:r>
        <w:rPr>
          <w:b/>
        </w:rPr>
        <w:t xml:space="preserve">Background:</w:t>
      </w:r>
      <w:r>
        <w:t xml:space="preserve"> </w:t>
      </w:r>
      <w:r>
        <w:t xml:space="preserve">Enquired over a year ago; life circumstances have changed significantly since then.</w:t>
      </w:r>
    </w:p>
    <w:p>
      <w:pPr>
        <w:pStyle w:val="BodyText"/>
      </w:pPr>
      <w:r>
        <w:rPr>
          <w:b/>
        </w:rPr>
        <w:t xml:space="preserve">Conversation:</w:t>
      </w:r>
      <w:r>
        <w:t xml:space="preserve"> </w:t>
      </w:r>
      <w:r>
        <w:t xml:space="preserve">&gt; Counsellor:</w:t>
      </w:r>
      <w:r>
        <w:t xml:space="preserve"> </w:t>
      </w:r>
      <w:r>
        <w:t xml:space="preserve">“</w:t>
      </w:r>
      <w:r>
        <w:t xml:space="preserve">Hi again — it’s been a while, just wanted to check if gemology is still something you’re exploring, or if things have moved in a different direction since we last spoke.</w:t>
      </w:r>
      <w:r>
        <w:t xml:space="preserve">”</w:t>
      </w:r>
      <w:r>
        <w:t xml:space="preserve"> </w:t>
      </w:r>
      <w:r>
        <w:t xml:space="preserve">&gt; Student:</w:t>
      </w:r>
      <w:r>
        <w:t xml:space="preserve"> </w:t>
      </w:r>
      <w:r>
        <w:t xml:space="preserve">“</w:t>
      </w:r>
      <w:r>
        <w:t xml:space="preserve">Actually a lot has changed — I’m in a much better position to consider this now.</w:t>
      </w:r>
      <w:r>
        <w:t xml:space="preserve">”</w:t>
      </w:r>
    </w:p>
    <w:p>
      <w:pPr>
        <w:pStyle w:val="BodyText"/>
      </w:pPr>
      <w:r>
        <w:rPr>
          <w:b/>
        </w:rPr>
        <w:t xml:space="preserve">Common mistake:</w:t>
      </w:r>
      <w:r>
        <w:t xml:space="preserve"> </w:t>
      </w:r>
      <w:r>
        <w:t xml:space="preserve">Assuming a year-old lead is permanently dead and not attempting re-engagement.</w:t>
      </w:r>
    </w:p>
    <w:p>
      <w:pPr>
        <w:pStyle w:val="BodyText"/>
      </w:pPr>
      <w:r>
        <w:rPr>
          <w:b/>
        </w:rPr>
        <w:t xml:space="preserve">Ideal approach:</w:t>
      </w:r>
      <w:r>
        <w:t xml:space="preserve"> </w:t>
      </w:r>
      <w:r>
        <w:t xml:space="preserve">Low-pressure, genuinely curious re-engagement regardless of elapsed time (10.9).</w:t>
      </w:r>
    </w:p>
    <w:p>
      <w:pPr>
        <w:pStyle w:val="BodyText"/>
      </w:pPr>
      <w:r>
        <w:rPr>
          <w:b/>
        </w:rPr>
        <w:t xml:space="preserve">Coaching tip:</w:t>
      </w:r>
      <w:r>
        <w:t xml:space="preserve"> </w:t>
      </w:r>
      <w:r>
        <w:t xml:space="preserve">Life circumstances change — a</w:t>
      </w:r>
      <w:r>
        <w:t xml:space="preserve"> </w:t>
      </w:r>
      <w:r>
        <w:t xml:space="preserve">“</w:t>
      </w:r>
      <w:r>
        <w:t xml:space="preserve">no</w:t>
      </w:r>
      <w:r>
        <w:t xml:space="preserve">”</w:t>
      </w:r>
      <w:r>
        <w:t xml:space="preserve"> </w:t>
      </w:r>
      <w:r>
        <w:t xml:space="preserve">from a year ago carries almost no information about today.</w:t>
      </w:r>
    </w:p>
    <w:p>
      <w:r>
        <w:pict>
          <v:rect style="width:0;height:1.5pt" o:hralign="center" o:hrstd="t" o:hr="t"/>
        </w:pict>
      </w:r>
    </w:p>
    <w:p>
      <w:pPr>
        <w:pStyle w:val="Heading3"/>
      </w:pPr>
      <w:bookmarkStart w:id="57" w:name="Xcc3922b5c790b58b49094e2706a2bdbddc5b258"/>
      <w:r>
        <w:t xml:space="preserve">Role Play 43 — Hot Lead, Wants Same-Day Enrolment Over Family Approval</w:t>
      </w:r>
      <w:bookmarkEnd w:id="57"/>
    </w:p>
    <w:p>
      <w:pPr>
        <w:pStyle w:val="FirstParagraph"/>
      </w:pPr>
      <w:r>
        <w:rPr>
          <w:b/>
        </w:rPr>
        <w:t xml:space="preserve">Background:</w:t>
      </w:r>
      <w:r>
        <w:t xml:space="preserve"> </w:t>
      </w:r>
      <w:r>
        <w:t xml:space="preserve">Very enthusiastic, wants to pay today, family hasn’t been consulted yet.</w:t>
      </w:r>
    </w:p>
    <w:p>
      <w:pPr>
        <w:pStyle w:val="BodyText"/>
      </w:pPr>
      <w:r>
        <w:rPr>
          <w:b/>
        </w:rPr>
        <w:t xml:space="preserve">Conversation:</w:t>
      </w:r>
      <w:r>
        <w:t xml:space="preserve"> </w:t>
      </w:r>
      <w:r>
        <w:t xml:space="preserve">&gt; Student:</w:t>
      </w:r>
      <w:r>
        <w:t xml:space="preserve"> </w:t>
      </w:r>
      <w:r>
        <w:t xml:space="preserve">“</w:t>
      </w:r>
      <w:r>
        <w:t xml:space="preserve">I want to just pay today and tell my parents after.</w:t>
      </w:r>
      <w:r>
        <w:t xml:space="preserve">”</w:t>
      </w:r>
      <w:r>
        <w:t xml:space="preserve"> </w:t>
      </w:r>
      <w:r>
        <w:t xml:space="preserve">&gt; Counsellor:</w:t>
      </w:r>
      <w:r>
        <w:t xml:space="preserve"> </w:t>
      </w:r>
      <w:r>
        <w:t xml:space="preserve">“</w:t>
      </w:r>
      <w:r>
        <w:t xml:space="preserve">I love the enthusiasm — I’d actually suggest looping them in first, even briefly. It protects you if anything comes up, and it usually makes the whole experience better going forward.</w:t>
      </w:r>
      <w:r>
        <w:t xml:space="preserve">”</w:t>
      </w:r>
    </w:p>
    <w:p>
      <w:pPr>
        <w:pStyle w:val="BodyText"/>
      </w:pPr>
      <w:r>
        <w:rPr>
          <w:b/>
        </w:rPr>
        <w:t xml:space="preserve">Common mistake:</w:t>
      </w:r>
      <w:r>
        <w:t xml:space="preserve"> </w:t>
      </w:r>
      <w:r>
        <w:t xml:space="preserve">Processing the enrolment same-day purely because the student is ready, without any family-context check for a persona where that matters.</w:t>
      </w:r>
    </w:p>
    <w:p>
      <w:pPr>
        <w:pStyle w:val="BodyText"/>
      </w:pPr>
      <w:r>
        <w:rPr>
          <w:b/>
        </w:rPr>
        <w:t xml:space="preserve">Ideal approach:</w:t>
      </w:r>
      <w:r>
        <w:t xml:space="preserve"> </w:t>
      </w:r>
      <w:r>
        <w:t xml:space="preserve">Gently slow down an eager decision when family dynamics haven’t been addressed (Role Play 18 principle, Section 2.1).</w:t>
      </w:r>
    </w:p>
    <w:p>
      <w:pPr>
        <w:pStyle w:val="BodyText"/>
      </w:pPr>
      <w:r>
        <w:rPr>
          <w:b/>
        </w:rPr>
        <w:t xml:space="preserve">Coaching tip:</w:t>
      </w:r>
      <w:r>
        <w:t xml:space="preserve"> </w:t>
      </w:r>
      <w:r>
        <w:t xml:space="preserve">Enthusiasm should never be exploited — protecting the student’s own decision quality is part of the job.</w:t>
      </w:r>
    </w:p>
    <w:p>
      <w:r>
        <w:pict>
          <v:rect style="width:0;height:1.5pt" o:hralign="center" o:hrstd="t" o:hr="t"/>
        </w:pict>
      </w:r>
    </w:p>
    <w:p>
      <w:pPr>
        <w:pStyle w:val="Heading3"/>
      </w:pPr>
      <w:bookmarkStart w:id="58" w:name="Xbaa65a4b87dc3fc87a0dbf378754d839695267b"/>
      <w:r>
        <w:t xml:space="preserve">Role Play 44 — Lost Lead Returns After Choosing a Competitor</w:t>
      </w:r>
      <w:bookmarkEnd w:id="58"/>
    </w:p>
    <w:p>
      <w:pPr>
        <w:pStyle w:val="FirstParagraph"/>
      </w:pPr>
      <w:r>
        <w:rPr>
          <w:b/>
        </w:rPr>
        <w:t xml:space="preserve">Background:</w:t>
      </w:r>
      <w:r>
        <w:t xml:space="preserve"> </w:t>
      </w:r>
      <w:r>
        <w:t xml:space="preserve">Chose a competitor institute a few months ago; now dissatisfied and re-enquiring with IGI.</w:t>
      </w:r>
    </w:p>
    <w:p>
      <w:pPr>
        <w:pStyle w:val="BodyText"/>
      </w:pPr>
      <w:r>
        <w:rPr>
          <w:b/>
        </w:rPr>
        <w:t xml:space="preserve">Conversation:</w:t>
      </w:r>
      <w:r>
        <w:t xml:space="preserve"> </w:t>
      </w:r>
      <w:r>
        <w:t xml:space="preserve">&gt; Student:</w:t>
      </w:r>
      <w:r>
        <w:t xml:space="preserve"> </w:t>
      </w:r>
      <w:r>
        <w:t xml:space="preserve">“</w:t>
      </w:r>
      <w:r>
        <w:t xml:space="preserve">I actually ended up going with another institute, but I’m not happy with it — can I still talk to you?</w:t>
      </w:r>
      <w:r>
        <w:t xml:space="preserve">”</w:t>
      </w:r>
      <w:r>
        <w:t xml:space="preserve"> </w:t>
      </w:r>
      <w:r>
        <w:t xml:space="preserve">&gt; Counsellor:</w:t>
      </w:r>
      <w:r>
        <w:t xml:space="preserve"> </w:t>
      </w:r>
      <w:r>
        <w:t xml:space="preserve">“</w:t>
      </w:r>
      <w:r>
        <w:t xml:space="preserve">Of course — I’m glad you reached out. Let’s talk through what wasn’t working for you, so we can make sure whatever comes next actually fits.</w:t>
      </w:r>
      <w:r>
        <w:t xml:space="preserve">”</w:t>
      </w:r>
    </w:p>
    <w:p>
      <w:pPr>
        <w:pStyle w:val="BodyText"/>
      </w:pPr>
      <w:r>
        <w:rPr>
          <w:b/>
        </w:rPr>
        <w:t xml:space="preserve">Common mistake:</w:t>
      </w:r>
      <w:r>
        <w:t xml:space="preserve"> </w:t>
      </w:r>
      <w:r>
        <w:t xml:space="preserve">Using the moment to criticize the competitor they chose.</w:t>
      </w:r>
    </w:p>
    <w:p>
      <w:pPr>
        <w:pStyle w:val="BodyText"/>
      </w:pPr>
      <w:r>
        <w:rPr>
          <w:b/>
        </w:rPr>
        <w:t xml:space="preserve">Ideal approach:</w:t>
      </w:r>
      <w:r>
        <w:t xml:space="preserve"> </w:t>
      </w:r>
      <w:r>
        <w:t xml:space="preserve">Stay factual and forward-looking; never criticize the named competitor even when the student is unhappy with them (Code of Ethics 1.6).</w:t>
      </w:r>
    </w:p>
    <w:p>
      <w:pPr>
        <w:pStyle w:val="BodyText"/>
      </w:pPr>
      <w:r>
        <w:rPr>
          <w:b/>
        </w:rPr>
        <w:t xml:space="preserve">Coaching tip:</w:t>
      </w:r>
      <w:r>
        <w:t xml:space="preserve"> </w:t>
      </w:r>
      <w:r>
        <w:t xml:space="preserve">This is a high-trust moment precisely because the student expects to be criticized for their earlier choice — not doing so builds significant credibility.</w:t>
      </w:r>
    </w:p>
    <w:p>
      <w:r>
        <w:pict>
          <v:rect style="width:0;height:1.5pt" o:hralign="center" o:hrstd="t" o:hr="t"/>
        </w:pict>
      </w:r>
    </w:p>
    <w:p>
      <w:pPr>
        <w:pStyle w:val="Heading3"/>
      </w:pPr>
      <w:bookmarkStart w:id="59" w:name="X25bd456da84d6dc2f9dcdb9def573507955c9a0"/>
      <w:r>
        <w:t xml:space="preserve">Role Play 45 — Comparing IGI vs. SSEF for High-End Colored Stone Work</w:t>
      </w:r>
      <w:bookmarkEnd w:id="59"/>
    </w:p>
    <w:p>
      <w:pPr>
        <w:pStyle w:val="FirstParagraph"/>
      </w:pPr>
      <w:r>
        <w:rPr>
          <w:b/>
        </w:rPr>
        <w:t xml:space="preserve">Background:</w:t>
      </w:r>
      <w:r>
        <w:t xml:space="preserve"> </w:t>
      </w:r>
      <w:r>
        <w:t xml:space="preserve">Serious colored-stone trader asking about SSEF specifically.</w:t>
      </w:r>
    </w:p>
    <w:p>
      <w:pPr>
        <w:pStyle w:val="BodyText"/>
      </w:pPr>
      <w:r>
        <w:rPr>
          <w:b/>
        </w:rPr>
        <w:t xml:space="preserve">Conversation:</w:t>
      </w:r>
      <w:r>
        <w:t xml:space="preserve"> </w:t>
      </w:r>
      <w:r>
        <w:t xml:space="preserve">&gt; Student:</w:t>
      </w:r>
      <w:r>
        <w:t xml:space="preserve"> </w:t>
      </w:r>
      <w:r>
        <w:t xml:space="preserve">“</w:t>
      </w:r>
      <w:r>
        <w:t xml:space="preserve">I’ve heard SSEF is the gold standard for emerald origin reports — should I go there instead?</w:t>
      </w:r>
      <w:r>
        <w:t xml:space="preserve">”</w:t>
      </w:r>
      <w:r>
        <w:t xml:space="preserve"> </w:t>
      </w:r>
      <w:r>
        <w:t xml:space="preserve">&gt; Counsellor:</w:t>
      </w:r>
      <w:r>
        <w:t xml:space="preserve"> </w:t>
      </w:r>
      <w:r>
        <w:t xml:space="preserve">“</w:t>
      </w:r>
      <w:r>
        <w:t xml:space="preserve">SSEF has a specific, excellent reputation for high-end origin research in Switzerland. For building broad, practical colored stone grading and identification competence, Colored Stone Graduate is the more accessible, India-based path — many professionals build the CSG foundation first.</w:t>
      </w:r>
      <w:r>
        <w:t xml:space="preserve">”</w:t>
      </w:r>
    </w:p>
    <w:p>
      <w:pPr>
        <w:pStyle w:val="BodyText"/>
      </w:pPr>
      <w:r>
        <w:rPr>
          <w:b/>
        </w:rPr>
        <w:t xml:space="preserve">Common mistake:</w:t>
      </w:r>
      <w:r>
        <w:t xml:space="preserve"> </w:t>
      </w:r>
      <w:r>
        <w:t xml:space="preserve">Being dismissive of SSEF’s specific niche reputation.</w:t>
      </w:r>
    </w:p>
    <w:p>
      <w:pPr>
        <w:pStyle w:val="BodyText"/>
      </w:pPr>
      <w:r>
        <w:rPr>
          <w:b/>
        </w:rPr>
        <w:t xml:space="preserve">Ideal approach:</w:t>
      </w:r>
      <w:r>
        <w:t xml:space="preserve"> </w:t>
      </w:r>
      <w:r>
        <w:t xml:space="preserve">Accurate, specific positioning — SSEF for specialist origin research, CSG for broad practical competence (6.2).</w:t>
      </w:r>
    </w:p>
    <w:p>
      <w:pPr>
        <w:pStyle w:val="BodyText"/>
      </w:pPr>
      <w:r>
        <w:rPr>
          <w:b/>
        </w:rPr>
        <w:t xml:space="preserve">Coaching tip:</w:t>
      </w:r>
      <w:r>
        <w:t xml:space="preserve"> </w:t>
      </w:r>
      <w:r>
        <w:t xml:space="preserve">Specialist labs and broad teaching institutes serve different needs — help the student see they may not be mutually exclusive over a career.</w:t>
      </w:r>
    </w:p>
    <w:p>
      <w:r>
        <w:pict>
          <v:rect style="width:0;height:1.5pt" o:hralign="center" o:hrstd="t" o:hr="t"/>
        </w:pict>
      </w:r>
    </w:p>
    <w:p>
      <w:pPr>
        <w:pStyle w:val="Heading3"/>
      </w:pPr>
      <w:bookmarkStart w:id="60" w:name="role-play-46-comparing-igi-vs.-gii"/>
      <w:r>
        <w:t xml:space="preserve">Role Play 46 — Comparing IGI vs. GII</w:t>
      </w:r>
      <w:bookmarkEnd w:id="60"/>
    </w:p>
    <w:p>
      <w:pPr>
        <w:pStyle w:val="FirstParagraph"/>
      </w:pPr>
      <w:r>
        <w:rPr>
          <w:b/>
        </w:rPr>
        <w:t xml:space="preserve">Background:</w:t>
      </w:r>
      <w:r>
        <w:t xml:space="preserve"> </w:t>
      </w:r>
      <w:r>
        <w:t xml:space="preserve">Mumbai-based student found GII (Gemmological Institute of India) as a lower-cost local option.</w:t>
      </w:r>
    </w:p>
    <w:p>
      <w:pPr>
        <w:pStyle w:val="BodyText"/>
      </w:pPr>
      <w:r>
        <w:rPr>
          <w:b/>
        </w:rPr>
        <w:t xml:space="preserve">Conversation:</w:t>
      </w:r>
      <w:r>
        <w:t xml:space="preserve"> </w:t>
      </w:r>
      <w:r>
        <w:t xml:space="preserve">&gt; Student:</w:t>
      </w:r>
      <w:r>
        <w:t xml:space="preserve"> </w:t>
      </w:r>
      <w:r>
        <w:t xml:space="preserve">“</w:t>
      </w:r>
      <w:r>
        <w:t xml:space="preserve">GII is local and cheaper — what’s actually different?</w:t>
      </w:r>
      <w:r>
        <w:t xml:space="preserve">”</w:t>
      </w:r>
      <w:r>
        <w:t xml:space="preserve"> </w:t>
      </w:r>
      <w:r>
        <w:t xml:space="preserve">&gt; Counsellor:</w:t>
      </w:r>
      <w:r>
        <w:t xml:space="preserve"> </w:t>
      </w:r>
      <w:r>
        <w:t xml:space="preserve">“</w:t>
      </w:r>
      <w:r>
        <w:t xml:space="preserve">GII is a well-established India-based non-profit trust with a solid local reputation. IGI’s differentiator is the global lab network and international footprint — it comes down to whether your ambitions are primarily local or international.</w:t>
      </w:r>
      <w:r>
        <w:t xml:space="preserve">”</w:t>
      </w:r>
    </w:p>
    <w:p>
      <w:pPr>
        <w:pStyle w:val="BodyText"/>
      </w:pPr>
      <w:r>
        <w:rPr>
          <w:b/>
        </w:rPr>
        <w:t xml:space="preserve">Common mistake:</w:t>
      </w:r>
      <w:r>
        <w:t xml:space="preserve"> </w:t>
      </w:r>
      <w:r>
        <w:t xml:space="preserve">Implying GII is inferior rather than differently positioned.</w:t>
      </w:r>
    </w:p>
    <w:p>
      <w:pPr>
        <w:pStyle w:val="BodyText"/>
      </w:pPr>
      <w:r>
        <w:rPr>
          <w:b/>
        </w:rPr>
        <w:t xml:space="preserve">Ideal approach:</w:t>
      </w:r>
      <w:r>
        <w:t xml:space="preserve"> </w:t>
      </w:r>
      <w:r>
        <w:t xml:space="preserve">Neutral, factual comparison anchored to the student’s actual geographic ambition (6.2, 6.3).</w:t>
      </w:r>
    </w:p>
    <w:p>
      <w:pPr>
        <w:pStyle w:val="BodyText"/>
      </w:pPr>
      <w:r>
        <w:rPr>
          <w:b/>
        </w:rPr>
        <w:t xml:space="preserve">Coaching tip:</w:t>
      </w:r>
      <w:r>
        <w:t xml:space="preserve"> </w:t>
      </w:r>
      <w:r>
        <w:t xml:space="preserve">“</w:t>
      </w:r>
      <w:r>
        <w:t xml:space="preserve">Local vs. international ambition</w:t>
      </w:r>
      <w:r>
        <w:t xml:space="preserve">”</w:t>
      </w:r>
      <w:r>
        <w:t xml:space="preserve"> </w:t>
      </w:r>
      <w:r>
        <w:t xml:space="preserve">is often the real deciding factor in India-based comparisons — surface it directly.</w:t>
      </w:r>
    </w:p>
    <w:p>
      <w:r>
        <w:pict>
          <v:rect style="width:0;height:1.5pt" o:hralign="center" o:hrstd="t" o:hr="t"/>
        </w:pict>
      </w:r>
    </w:p>
    <w:p>
      <w:pPr>
        <w:pStyle w:val="Heading3"/>
      </w:pPr>
      <w:bookmarkStart w:id="61" w:name="Xeca508bd992342f082c818ae2a1d31909a3b762"/>
      <w:r>
        <w:t xml:space="preserve">Role Play 47 — Confusion Between</w:t>
      </w:r>
      <w:r>
        <w:t xml:space="preserve"> </w:t>
      </w:r>
      <w:r>
        <w:t xml:space="preserve">“</w:t>
      </w:r>
      <w:r>
        <w:t xml:space="preserve">Certificate</w:t>
      </w:r>
      <w:r>
        <w:t xml:space="preserve">”</w:t>
      </w:r>
      <w:r>
        <w:t xml:space="preserve"> </w:t>
      </w:r>
      <w:r>
        <w:t xml:space="preserve">and</w:t>
      </w:r>
      <w:r>
        <w:t xml:space="preserve"> </w:t>
      </w:r>
      <w:r>
        <w:t xml:space="preserve">“</w:t>
      </w:r>
      <w:r>
        <w:t xml:space="preserve">Diploma</w:t>
      </w:r>
      <w:r>
        <w:t xml:space="preserve">”</w:t>
      </w:r>
      <w:bookmarkEnd w:id="61"/>
    </w:p>
    <w:p>
      <w:pPr>
        <w:pStyle w:val="FirstParagraph"/>
      </w:pPr>
      <w:r>
        <w:rPr>
          <w:b/>
        </w:rPr>
        <w:t xml:space="preserve">Background:</w:t>
      </w:r>
      <w:r>
        <w:t xml:space="preserve"> </w:t>
      </w:r>
      <w:r>
        <w:t xml:space="preserve">Student unsure what distinguishes a certificate course from a diploma program.</w:t>
      </w:r>
    </w:p>
    <w:p>
      <w:pPr>
        <w:pStyle w:val="BodyText"/>
      </w:pPr>
      <w:r>
        <w:rPr>
          <w:b/>
        </w:rPr>
        <w:t xml:space="preserve">Conversation:</w:t>
      </w:r>
      <w:r>
        <w:t xml:space="preserve"> </w:t>
      </w:r>
      <w:r>
        <w:t xml:space="preserve">&gt; Student:</w:t>
      </w:r>
      <w:r>
        <w:t xml:space="preserve"> </w:t>
      </w:r>
      <w:r>
        <w:t xml:space="preserve">“</w:t>
      </w:r>
      <w:r>
        <w:t xml:space="preserve">What’s actually the difference between a certificate and a diploma here?</w:t>
      </w:r>
      <w:r>
        <w:t xml:space="preserve">”</w:t>
      </w:r>
      <w:r>
        <w:t xml:space="preserve"> </w:t>
      </w:r>
      <w:r>
        <w:t xml:space="preserve">&gt; Counsellor:</w:t>
      </w:r>
      <w:r>
        <w:t xml:space="preserve"> </w:t>
      </w:r>
      <w:r>
        <w:t xml:space="preserve">“</w:t>
      </w:r>
      <w:r>
        <w:t xml:space="preserve">Great question — let me walk you through exactly how IGI uses those terms so there’s no confusion before you decide.</w:t>
      </w:r>
      <w:r>
        <w:t xml:space="preserve">”</w:t>
      </w:r>
    </w:p>
    <w:p>
      <w:pPr>
        <w:pStyle w:val="BodyText"/>
      </w:pPr>
      <w:r>
        <w:rPr>
          <w:b/>
        </w:rPr>
        <w:t xml:space="preserve">Common mistake:</w:t>
      </w:r>
      <w:r>
        <w:t xml:space="preserve"> </w:t>
      </w:r>
      <w:r>
        <w:t xml:space="preserve">Giving a vague or inconsistent answer that increases confusion.</w:t>
      </w:r>
    </w:p>
    <w:p>
      <w:pPr>
        <w:pStyle w:val="BodyText"/>
      </w:pPr>
      <w:r>
        <w:rPr>
          <w:b/>
        </w:rPr>
        <w:t xml:space="preserve">Ideal approach:</w:t>
      </w:r>
      <w:r>
        <w:t xml:space="preserve"> </w:t>
      </w:r>
      <w:r>
        <w:t xml:space="preserve">Clear, accurate, current terminology explanation (Extended FAQ #222).</w:t>
      </w:r>
    </w:p>
    <w:p>
      <w:pPr>
        <w:pStyle w:val="BodyText"/>
      </w:pPr>
      <w:r>
        <w:rPr>
          <w:b/>
        </w:rPr>
        <w:t xml:space="preserve">Coaching tip:</w:t>
      </w:r>
      <w:r>
        <w:t xml:space="preserve"> </w:t>
      </w:r>
      <w:r>
        <w:t xml:space="preserve">Terminology confusion is a legitimacy question in disguise — treat it with the same care as a scam concern.</w:t>
      </w:r>
    </w:p>
    <w:p>
      <w:r>
        <w:pict>
          <v:rect style="width:0;height:1.5pt" o:hralign="center" o:hrstd="t" o:hr="t"/>
        </w:pict>
      </w:r>
    </w:p>
    <w:p>
      <w:pPr>
        <w:pStyle w:val="Heading3"/>
      </w:pPr>
      <w:bookmarkStart w:id="62" w:name="X0b3b4cf089f7aef80fa527cfa7c141ed62fae61"/>
      <w:r>
        <w:t xml:space="preserve">Role Play 48 — Worried About EMI Default and Credit Implications</w:t>
      </w:r>
      <w:bookmarkEnd w:id="62"/>
    </w:p>
    <w:p>
      <w:pPr>
        <w:pStyle w:val="FirstParagraph"/>
      </w:pPr>
      <w:r>
        <w:rPr>
          <w:b/>
        </w:rPr>
        <w:t xml:space="preserve">Background:</w:t>
      </w:r>
      <w:r>
        <w:t xml:space="preserve"> </w:t>
      </w:r>
      <w:r>
        <w:t xml:space="preserve">First-time EMI user, anxious about what happens if a payment is missed.</w:t>
      </w:r>
    </w:p>
    <w:p>
      <w:pPr>
        <w:pStyle w:val="BodyText"/>
      </w:pPr>
      <w:r>
        <w:rPr>
          <w:b/>
        </w:rPr>
        <w:t xml:space="preserve">Conversation:</w:t>
      </w:r>
      <w:r>
        <w:t xml:space="preserve"> </w:t>
      </w:r>
      <w:r>
        <w:t xml:space="preserve">&gt; Student:</w:t>
      </w:r>
      <w:r>
        <w:t xml:space="preserve"> </w:t>
      </w:r>
      <w:r>
        <w:t xml:space="preserve">“</w:t>
      </w:r>
      <w:r>
        <w:t xml:space="preserve">What happens to my credit if I miss an EMI payment?</w:t>
      </w:r>
      <w:r>
        <w:t xml:space="preserve">”</w:t>
      </w:r>
      <w:r>
        <w:t xml:space="preserve"> </w:t>
      </w:r>
      <w:r>
        <w:t xml:space="preserve">&gt; Counsellor:</w:t>
      </w:r>
      <w:r>
        <w:t xml:space="preserve"> </w:t>
      </w:r>
      <w:r>
        <w:t xml:space="preserve">“</w:t>
      </w:r>
      <w:r>
        <w:t xml:space="preserve">That’s an important thing to understand before committing — let me walk you through exactly how the EMI partner handles a missed payment, rather than leaving you to guess.</w:t>
      </w:r>
      <w:r>
        <w:t xml:space="preserve">”</w:t>
      </w:r>
    </w:p>
    <w:p>
      <w:pPr>
        <w:pStyle w:val="BodyText"/>
      </w:pPr>
      <w:r>
        <w:rPr>
          <w:b/>
        </w:rPr>
        <w:t xml:space="preserve">Common mistake:</w:t>
      </w:r>
      <w:r>
        <w:t xml:space="preserve"> </w:t>
      </w:r>
      <w:r>
        <w:t xml:space="preserve">Glossing over the question to avoid discouraging enrolment.</w:t>
      </w:r>
    </w:p>
    <w:p>
      <w:pPr>
        <w:pStyle w:val="BodyText"/>
      </w:pPr>
      <w:r>
        <w:rPr>
          <w:b/>
        </w:rPr>
        <w:t xml:space="preserve">Ideal approach:</w:t>
      </w:r>
      <w:r>
        <w:t xml:space="preserve"> </w:t>
      </w:r>
      <w:r>
        <w:t xml:space="preserve">Full, honest disclosure of EMI terms and consequences (8.7).</w:t>
      </w:r>
    </w:p>
    <w:p>
      <w:pPr>
        <w:pStyle w:val="BodyText"/>
      </w:pPr>
      <w:r>
        <w:rPr>
          <w:b/>
        </w:rPr>
        <w:t xml:space="preserve">Coaching tip:</w:t>
      </w:r>
      <w:r>
        <w:t xml:space="preserve"> </w:t>
      </w:r>
      <w:r>
        <w:t xml:space="preserve">Financial anxiety deserves complete answers, not reassurance alone — incomplete answers erode trust later.</w:t>
      </w:r>
    </w:p>
    <w:p>
      <w:r>
        <w:pict>
          <v:rect style="width:0;height:1.5pt" o:hralign="center" o:hrstd="t" o:hr="t"/>
        </w:pict>
      </w:r>
    </w:p>
    <w:p>
      <w:pPr>
        <w:pStyle w:val="Heading3"/>
      </w:pPr>
      <w:bookmarkStart w:id="63" w:name="Xe5c8956df19ed3ec5afde80d3cbfac5b2559568"/>
      <w:r>
        <w:t xml:space="preserve">Role Play 49 — Aggressive Discount Negotiation Citing</w:t>
      </w:r>
      <w:r>
        <w:t xml:space="preserve"> </w:t>
      </w:r>
      <w:r>
        <w:t xml:space="preserve">“</w:t>
      </w:r>
      <w:r>
        <w:t xml:space="preserve">A Friend Got Cheaper</w:t>
      </w:r>
      <w:r>
        <w:t xml:space="preserve">”</w:t>
      </w:r>
      <w:bookmarkEnd w:id="63"/>
    </w:p>
    <w:p>
      <w:pPr>
        <w:pStyle w:val="FirstParagraph"/>
      </w:pPr>
      <w:r>
        <w:rPr>
          <w:b/>
        </w:rPr>
        <w:t xml:space="preserve">Background:</w:t>
      </w:r>
      <w:r>
        <w:t xml:space="preserve"> </w:t>
      </w:r>
      <w:r>
        <w:t xml:space="preserve">Student claims a friend paid significantly less for the same course.</w:t>
      </w:r>
    </w:p>
    <w:p>
      <w:pPr>
        <w:pStyle w:val="BodyText"/>
      </w:pPr>
      <w:r>
        <w:rPr>
          <w:b/>
        </w:rPr>
        <w:t xml:space="preserve">Conversation:</w:t>
      </w:r>
      <w:r>
        <w:t xml:space="preserve"> </w:t>
      </w:r>
      <w:r>
        <w:t xml:space="preserve">&gt; Student:</w:t>
      </w:r>
      <w:r>
        <w:t xml:space="preserve"> </w:t>
      </w:r>
      <w:r>
        <w:t xml:space="preserve">“</w:t>
      </w:r>
      <w:r>
        <w:t xml:space="preserve">My friend told me she paid way less for the same course — why is mine more?</w:t>
      </w:r>
      <w:r>
        <w:t xml:space="preserve">”</w:t>
      </w:r>
      <w:r>
        <w:t xml:space="preserve"> </w:t>
      </w:r>
      <w:r>
        <w:t xml:space="preserve">&gt; Counsellor:</w:t>
      </w:r>
      <w:r>
        <w:t xml:space="preserve"> </w:t>
      </w:r>
      <w:r>
        <w:t xml:space="preserve">“</w:t>
      </w:r>
      <w:r>
        <w:t xml:space="preserve">Let me check the current fee structure and any offers that might explain a difference, and I’ll give you an accurate, honest answer rather than guessing.</w:t>
      </w:r>
      <w:r>
        <w:t xml:space="preserve">”</w:t>
      </w:r>
    </w:p>
    <w:p>
      <w:pPr>
        <w:pStyle w:val="BodyText"/>
      </w:pPr>
      <w:r>
        <w:rPr>
          <w:b/>
        </w:rPr>
        <w:t xml:space="preserve">Common mistake:</w:t>
      </w:r>
      <w:r>
        <w:t xml:space="preserve"> </w:t>
      </w:r>
      <w:r>
        <w:t xml:space="preserve">Matching the claimed lower price on the spot without verification.</w:t>
      </w:r>
    </w:p>
    <w:p>
      <w:pPr>
        <w:pStyle w:val="BodyText"/>
      </w:pPr>
      <w:r>
        <w:rPr>
          <w:b/>
        </w:rPr>
        <w:t xml:space="preserve">Ideal approach:</w:t>
      </w:r>
      <w:r>
        <w:t xml:space="preserve"> </w:t>
      </w:r>
      <w:r>
        <w:t xml:space="preserve">Verify before responding; if a genuine discrepancy exists, escalate rather than improvise (Code of Ethics 1.6).</w:t>
      </w:r>
    </w:p>
    <w:p>
      <w:pPr>
        <w:pStyle w:val="BodyText"/>
      </w:pPr>
      <w:r>
        <w:rPr>
          <w:b/>
        </w:rPr>
        <w:t xml:space="preserve">Coaching tip:</w:t>
      </w:r>
      <w:r>
        <w:t xml:space="preserve"> </w:t>
      </w:r>
      <w:r>
        <w:t xml:space="preserve">Unverified</w:t>
      </w:r>
      <w:r>
        <w:t xml:space="preserve"> </w:t>
      </w:r>
      <w:r>
        <w:t xml:space="preserve">“</w:t>
      </w:r>
      <w:r>
        <w:t xml:space="preserve">my friend paid less</w:t>
      </w:r>
      <w:r>
        <w:t xml:space="preserve">”</w:t>
      </w:r>
      <w:r>
        <w:t xml:space="preserve"> </w:t>
      </w:r>
      <w:r>
        <w:t xml:space="preserve">claims should be checked, not assumed true or false.</w:t>
      </w:r>
    </w:p>
    <w:p>
      <w:r>
        <w:pict>
          <v:rect style="width:0;height:1.5pt" o:hralign="center" o:hrstd="t" o:hr="t"/>
        </w:pict>
      </w:r>
    </w:p>
    <w:p>
      <w:pPr>
        <w:pStyle w:val="Heading3"/>
      </w:pPr>
      <w:bookmarkStart w:id="64" w:name="X92f707101ff863c5344410fcf090a8be44f1604"/>
      <w:r>
        <w:t xml:space="preserve">Role Play 50 — Corporate Enquiry, HR Head Scoping Across Two Cities</w:t>
      </w:r>
      <w:bookmarkEnd w:id="64"/>
    </w:p>
    <w:p>
      <w:pPr>
        <w:pStyle w:val="FirstParagraph"/>
      </w:pPr>
      <w:r>
        <w:rPr>
          <w:b/>
        </w:rPr>
        <w:t xml:space="preserve">Background:</w:t>
      </w:r>
      <w:r>
        <w:t xml:space="preserve"> </w:t>
      </w:r>
      <w:r>
        <w:t xml:space="preserve">HR head of a retail chain wants training standardized across two city locations.</w:t>
      </w:r>
    </w:p>
    <w:p>
      <w:pPr>
        <w:pStyle w:val="BodyText"/>
      </w:pPr>
      <w:r>
        <w:rPr>
          <w:b/>
        </w:rPr>
        <w:t xml:space="preserve">Conversation:</w:t>
      </w:r>
      <w:r>
        <w:t xml:space="preserve"> </w:t>
      </w:r>
      <w:r>
        <w:t xml:space="preserve">&gt; HR Head:</w:t>
      </w:r>
      <w:r>
        <w:t xml:space="preserve"> </w:t>
      </w:r>
      <w:r>
        <w:t xml:space="preserve">“</w:t>
      </w:r>
      <w:r>
        <w:t xml:space="preserve">We need this consistent across both our Mumbai and Delhi teams.</w:t>
      </w:r>
      <w:r>
        <w:t xml:space="preserve">”</w:t>
      </w:r>
      <w:r>
        <w:t xml:space="preserve"> </w:t>
      </w:r>
      <w:r>
        <w:t xml:space="preserve">&gt; Counsellor:</w:t>
      </w:r>
      <w:r>
        <w:t xml:space="preserve"> </w:t>
      </w:r>
      <w:r>
        <w:t xml:space="preserve">“</w:t>
      </w:r>
      <w:r>
        <w:t xml:space="preserve">Understood — let’s scope a single Corporate Program design that can be delivered consistently at both locations, with local scheduling flexibility.</w:t>
      </w:r>
      <w:r>
        <w:t xml:space="preserve">”</w:t>
      </w:r>
    </w:p>
    <w:p>
      <w:pPr>
        <w:pStyle w:val="BodyText"/>
      </w:pPr>
      <w:r>
        <w:rPr>
          <w:b/>
        </w:rPr>
        <w:t xml:space="preserve">Common mistake:</w:t>
      </w:r>
      <w:r>
        <w:t xml:space="preserve"> </w:t>
      </w:r>
      <w:r>
        <w:t xml:space="preserve">Treating this as two separate individual-style enquiries instead of one coordinated corporate scope.</w:t>
      </w:r>
    </w:p>
    <w:p>
      <w:pPr>
        <w:pStyle w:val="BodyText"/>
      </w:pPr>
      <w:r>
        <w:rPr>
          <w:b/>
        </w:rPr>
        <w:t xml:space="preserve">Ideal approach:</w:t>
      </w:r>
      <w:r>
        <w:t xml:space="preserve"> </w:t>
      </w:r>
      <w:r>
        <w:t xml:space="preserve">Single coordinated Corporate Program proposal covering both locations (4.10, 10.5).</w:t>
      </w:r>
    </w:p>
    <w:p>
      <w:pPr>
        <w:pStyle w:val="BodyText"/>
      </w:pPr>
      <w:r>
        <w:rPr>
          <w:b/>
        </w:rPr>
        <w:t xml:space="preserve">Coaching tip:</w:t>
      </w:r>
      <w:r>
        <w:t xml:space="preserve"> </w:t>
      </w:r>
      <w:r>
        <w:t xml:space="preserve">Multi-location corporate enquiries need one coherent proposal, not fragmented city-by-city quotes.</w:t>
      </w:r>
    </w:p>
    <w:p>
      <w:r>
        <w:pict>
          <v:rect style="width:0;height:1.5pt" o:hralign="center" o:hrstd="t" o:hr="t"/>
        </w:pict>
      </w:r>
    </w:p>
    <w:p>
      <w:pPr>
        <w:pStyle w:val="Heading3"/>
      </w:pPr>
      <w:bookmarkStart w:id="65" w:name="Xcfac0be212975f77c4d77ac5ad585bfae7fa072"/>
      <w:r>
        <w:t xml:space="preserve">Role Play 51 — Manufacturer Resistant to</w:t>
      </w:r>
      <w:r>
        <w:t xml:space="preserve"> </w:t>
      </w:r>
      <w:r>
        <w:t xml:space="preserve">“</w:t>
      </w:r>
      <w:r>
        <w:t xml:space="preserve">Training</w:t>
      </w:r>
      <w:r>
        <w:t xml:space="preserve">”</w:t>
      </w:r>
      <w:r>
        <w:t xml:space="preserve"> </w:t>
      </w:r>
      <w:r>
        <w:t xml:space="preserve">Framing</w:t>
      </w:r>
      <w:bookmarkEnd w:id="65"/>
    </w:p>
    <w:p>
      <w:pPr>
        <w:pStyle w:val="FirstParagraph"/>
      </w:pPr>
      <w:r>
        <w:rPr>
          <w:b/>
        </w:rPr>
        <w:t xml:space="preserve">Background:</w:t>
      </w:r>
      <w:r>
        <w:t xml:space="preserve"> </w:t>
      </w:r>
      <w:r>
        <w:t xml:space="preserve">Factory owner is skeptical of</w:t>
      </w:r>
      <w:r>
        <w:t xml:space="preserve"> </w:t>
      </w:r>
      <w:r>
        <w:t xml:space="preserve">“</w:t>
      </w:r>
      <w:r>
        <w:t xml:space="preserve">training programs,</w:t>
      </w:r>
      <w:r>
        <w:t xml:space="preserve">”</w:t>
      </w:r>
      <w:r>
        <w:t xml:space="preserve"> </w:t>
      </w:r>
      <w:r>
        <w:t xml:space="preserve">associating them with wasted time.</w:t>
      </w:r>
    </w:p>
    <w:p>
      <w:pPr>
        <w:pStyle w:val="BodyText"/>
      </w:pPr>
      <w:r>
        <w:rPr>
          <w:b/>
        </w:rPr>
        <w:t xml:space="preserve">Conversation:</w:t>
      </w:r>
      <w:r>
        <w:t xml:space="preserve"> </w:t>
      </w:r>
      <w:r>
        <w:t xml:space="preserve">&gt; Owner:</w:t>
      </w:r>
      <w:r>
        <w:t xml:space="preserve"> </w:t>
      </w:r>
      <w:r>
        <w:t xml:space="preserve">“</w:t>
      </w:r>
      <w:r>
        <w:t xml:space="preserve">I don’t want some generic training program, my QC team just needs to be sharper.</w:t>
      </w:r>
      <w:r>
        <w:t xml:space="preserve">”</w:t>
      </w:r>
      <w:r>
        <w:t xml:space="preserve"> </w:t>
      </w:r>
      <w:r>
        <w:t xml:space="preserve">&gt; Counsellor:</w:t>
      </w:r>
      <w:r>
        <w:t xml:space="preserve"> </w:t>
      </w:r>
      <w:r>
        <w:t xml:space="preserve">“</w:t>
      </w:r>
      <w:r>
        <w:t xml:space="preserve">Completely fair — let’s not call it</w:t>
      </w:r>
      <w:r>
        <w:t xml:space="preserve"> </w:t>
      </w:r>
      <w:r>
        <w:t xml:space="preserve">‘</w:t>
      </w:r>
      <w:r>
        <w:t xml:space="preserve">training</w:t>
      </w:r>
      <w:r>
        <w:t xml:space="preserve">’</w:t>
      </w:r>
      <w:r>
        <w:t xml:space="preserve"> </w:t>
      </w:r>
      <w:r>
        <w:t xml:space="preserve">then. It’s a focused refresher scoped specifically around the grading errors costing you the most right now.</w:t>
      </w:r>
      <w:r>
        <w:t xml:space="preserve">”</w:t>
      </w:r>
    </w:p>
    <w:p>
      <w:pPr>
        <w:pStyle w:val="BodyText"/>
      </w:pPr>
      <w:r>
        <w:rPr>
          <w:b/>
        </w:rPr>
        <w:t xml:space="preserve">Common mistake:</w:t>
      </w:r>
      <w:r>
        <w:t xml:space="preserve"> </w:t>
      </w:r>
      <w:r>
        <w:t xml:space="preserve">Insisting on the</w:t>
      </w:r>
      <w:r>
        <w:t xml:space="preserve"> </w:t>
      </w:r>
      <w:r>
        <w:t xml:space="preserve">“</w:t>
      </w:r>
      <w:r>
        <w:t xml:space="preserve">training program</w:t>
      </w:r>
      <w:r>
        <w:t xml:space="preserve">”</w:t>
      </w:r>
      <w:r>
        <w:t xml:space="preserve"> </w:t>
      </w:r>
      <w:r>
        <w:t xml:space="preserve">label when the client is reacting negatively to that framing specifically.</w:t>
      </w:r>
    </w:p>
    <w:p>
      <w:pPr>
        <w:pStyle w:val="BodyText"/>
      </w:pPr>
      <w:r>
        <w:rPr>
          <w:b/>
        </w:rPr>
        <w:t xml:space="preserve">Ideal approach:</w:t>
      </w:r>
      <w:r>
        <w:t xml:space="preserve"> </w:t>
      </w:r>
      <w:r>
        <w:t xml:space="preserve">Adapt language to the client’s own framing while keeping the substance identical (10.5).</w:t>
      </w:r>
    </w:p>
    <w:p>
      <w:pPr>
        <w:pStyle w:val="BodyText"/>
      </w:pPr>
      <w:r>
        <w:rPr>
          <w:b/>
        </w:rPr>
        <w:t xml:space="preserve">Coaching tip:</w:t>
      </w:r>
      <w:r>
        <w:t xml:space="preserve"> </w:t>
      </w:r>
      <w:r>
        <w:t xml:space="preserve">Sometimes the objection is to a word, not the substance — listen for which one you’re actually facing.</w:t>
      </w:r>
    </w:p>
    <w:p>
      <w:r>
        <w:pict>
          <v:rect style="width:0;height:1.5pt" o:hralign="center" o:hrstd="t" o:hr="t"/>
        </w:pict>
      </w:r>
    </w:p>
    <w:p>
      <w:pPr>
        <w:pStyle w:val="Heading3"/>
      </w:pPr>
      <w:bookmarkStart w:id="66" w:name="Xaabd482c5927ea18d10694dcafff863d8f92050"/>
      <w:r>
        <w:t xml:space="preserve">Role Play 52 — Retail Chain Owner, Mystery-Shopper-Driven Need</w:t>
      </w:r>
      <w:bookmarkEnd w:id="66"/>
    </w:p>
    <w:p>
      <w:pPr>
        <w:pStyle w:val="FirstParagraph"/>
      </w:pPr>
      <w:r>
        <w:rPr>
          <w:b/>
        </w:rPr>
        <w:t xml:space="preserve">Background:</w:t>
      </w:r>
      <w:r>
        <w:t xml:space="preserve"> </w:t>
      </w:r>
      <w:r>
        <w:t xml:space="preserve">Owner has mystery-shopper data showing weak product knowledge at the counter.</w:t>
      </w:r>
    </w:p>
    <w:p>
      <w:pPr>
        <w:pStyle w:val="BodyText"/>
      </w:pPr>
      <w:r>
        <w:rPr>
          <w:b/>
        </w:rPr>
        <w:t xml:space="preserve">Conversation:</w:t>
      </w:r>
      <w:r>
        <w:t xml:space="preserve"> </w:t>
      </w:r>
      <w:r>
        <w:t xml:space="preserve">&gt; Owner:</w:t>
      </w:r>
      <w:r>
        <w:t xml:space="preserve"> </w:t>
      </w:r>
      <w:r>
        <w:t xml:space="preserve">“</w:t>
      </w:r>
      <w:r>
        <w:t xml:space="preserve">Our mystery shopper scores on product knowledge are embarrassing.</w:t>
      </w:r>
      <w:r>
        <w:t xml:space="preserve">”</w:t>
      </w:r>
      <w:r>
        <w:t xml:space="preserve"> </w:t>
      </w:r>
      <w:r>
        <w:t xml:space="preserve">&gt; Counsellor:</w:t>
      </w:r>
      <w:r>
        <w:t xml:space="preserve"> </w:t>
      </w:r>
      <w:r>
        <w:t xml:space="preserve">“</w:t>
      </w:r>
      <w:r>
        <w:t xml:space="preserve">That’s exactly the kind of concrete signal that makes scoping easy — let’s build a Retail Training Program targeted directly at the specific knowledge gaps your reports are showing.</w:t>
      </w:r>
      <w:r>
        <w:t xml:space="preserve">”</w:t>
      </w:r>
    </w:p>
    <w:p>
      <w:pPr>
        <w:pStyle w:val="BodyText"/>
      </w:pPr>
      <w:r>
        <w:rPr>
          <w:b/>
        </w:rPr>
        <w:t xml:space="preserve">Common mistake:</w:t>
      </w:r>
      <w:r>
        <w:t xml:space="preserve"> </w:t>
      </w:r>
      <w:r>
        <w:t xml:space="preserve">Proposing a generic retail training package without referencing the client’s own diagnostic data.</w:t>
      </w:r>
    </w:p>
    <w:p>
      <w:pPr>
        <w:pStyle w:val="BodyText"/>
      </w:pPr>
      <w:r>
        <w:rPr>
          <w:b/>
        </w:rPr>
        <w:t xml:space="preserve">Ideal approach:</w:t>
      </w:r>
      <w:r>
        <w:t xml:space="preserve"> </w:t>
      </w:r>
      <w:r>
        <w:t xml:space="preserve">Anchor the proposal directly to the client’s existing performance data (4.9, 4.10).</w:t>
      </w:r>
    </w:p>
    <w:p>
      <w:pPr>
        <w:pStyle w:val="BodyText"/>
      </w:pPr>
      <w:r>
        <w:rPr>
          <w:b/>
        </w:rPr>
        <w:t xml:space="preserve">Coaching tip:</w:t>
      </w:r>
      <w:r>
        <w:t xml:space="preserve"> </w:t>
      </w:r>
      <w:r>
        <w:t xml:space="preserve">When a client already has diagnostic data, use it — it makes your proposal sharper and more credible.</w:t>
      </w:r>
    </w:p>
    <w:p>
      <w:r>
        <w:pict>
          <v:rect style="width:0;height:1.5pt" o:hralign="center" o:hrstd="t" o:hr="t"/>
        </w:pict>
      </w:r>
    </w:p>
    <w:p>
      <w:pPr>
        <w:pStyle w:val="Heading3"/>
      </w:pPr>
      <w:bookmarkStart w:id="67" w:name="Xf980349c15a55232697d25e071a7d3d550e8759"/>
      <w:r>
        <w:t xml:space="preserve">Role Play 53 — Student Wants to Continue at IGI After Starting Elsewhere</w:t>
      </w:r>
      <w:bookmarkEnd w:id="67"/>
    </w:p>
    <w:p>
      <w:pPr>
        <w:pStyle w:val="FirstParagraph"/>
      </w:pPr>
      <w:r>
        <w:rPr>
          <w:b/>
        </w:rPr>
        <w:t xml:space="preserve">Background:</w:t>
      </w:r>
      <w:r>
        <w:t xml:space="preserve"> </w:t>
      </w:r>
      <w:r>
        <w:t xml:space="preserve">Took Diamond Essentials at a competitor institute, now wants to continue the pathway at IGI.</w:t>
      </w:r>
    </w:p>
    <w:p>
      <w:pPr>
        <w:pStyle w:val="BodyText"/>
      </w:pPr>
      <w:r>
        <w:rPr>
          <w:b/>
        </w:rPr>
        <w:t xml:space="preserve">Conversation:</w:t>
      </w:r>
      <w:r>
        <w:t xml:space="preserve"> </w:t>
      </w:r>
      <w:r>
        <w:t xml:space="preserve">&gt; Student:</w:t>
      </w:r>
      <w:r>
        <w:t xml:space="preserve"> </w:t>
      </w:r>
      <w:r>
        <w:t xml:space="preserve">“</w:t>
      </w:r>
      <w:r>
        <w:t xml:space="preserve">I did a basic course somewhere else — can I continue with IGI now?</w:t>
      </w:r>
      <w:r>
        <w:t xml:space="preserve">”</w:t>
      </w:r>
      <w:r>
        <w:t xml:space="preserve"> </w:t>
      </w:r>
      <w:r>
        <w:t xml:space="preserve">&gt; Counsellor:</w:t>
      </w:r>
      <w:r>
        <w:t xml:space="preserve"> </w:t>
      </w:r>
      <w:r>
        <w:t xml:space="preserve">“</w:t>
      </w:r>
      <w:r>
        <w:t xml:space="preserve">Absolutely — let’s talk about what you covered so I can point you to the right next step here, whether that’s Diamond Graduate or something else.</w:t>
      </w:r>
      <w:r>
        <w:t xml:space="preserve">”</w:t>
      </w:r>
    </w:p>
    <w:p>
      <w:pPr>
        <w:pStyle w:val="BodyText"/>
      </w:pPr>
      <w:r>
        <w:rPr>
          <w:b/>
        </w:rPr>
        <w:t xml:space="preserve">Common mistake:</w:t>
      </w:r>
      <w:r>
        <w:t xml:space="preserve"> </w:t>
      </w:r>
      <w:r>
        <w:t xml:space="preserve">Requiring the student to repeat foundational content unnecessarily, or conversely assuming equivalence without checking.</w:t>
      </w:r>
    </w:p>
    <w:p>
      <w:pPr>
        <w:pStyle w:val="BodyText"/>
      </w:pPr>
      <w:r>
        <w:rPr>
          <w:b/>
        </w:rPr>
        <w:t xml:space="preserve">Ideal approach:</w:t>
      </w:r>
      <w:r>
        <w:t xml:space="preserve"> </w:t>
      </w:r>
      <w:r>
        <w:t xml:space="preserve">Assess actual prior coverage via Discovery before recommending the next step (3).</w:t>
      </w:r>
    </w:p>
    <w:p>
      <w:pPr>
        <w:pStyle w:val="BodyText"/>
      </w:pPr>
      <w:r>
        <w:rPr>
          <w:b/>
        </w:rPr>
        <w:t xml:space="preserve">Coaching tip:</w:t>
      </w:r>
      <w:r>
        <w:t xml:space="preserve"> </w:t>
      </w:r>
      <w:r>
        <w:t xml:space="preserve">Cross-institute continuation is common and legitimate — treat it as a normal Discovery input, not a complication.</w:t>
      </w:r>
    </w:p>
    <w:p>
      <w:r>
        <w:pict>
          <v:rect style="width:0;height:1.5pt" o:hralign="center" o:hrstd="t" o:hr="t"/>
        </w:pict>
      </w:r>
    </w:p>
    <w:p>
      <w:pPr>
        <w:pStyle w:val="Heading3"/>
      </w:pPr>
      <w:bookmarkStart w:id="68" w:name="X8c0432f3914f5b1c909c21bce2c77eb398bcfe9"/>
      <w:r>
        <w:t xml:space="preserve">Role Play 54 — Refund Request After Two Weeks</w:t>
      </w:r>
      <w:bookmarkEnd w:id="68"/>
    </w:p>
    <w:p>
      <w:pPr>
        <w:pStyle w:val="FirstParagraph"/>
      </w:pPr>
      <w:r>
        <w:rPr>
          <w:b/>
        </w:rPr>
        <w:t xml:space="preserve">Background:</w:t>
      </w:r>
      <w:r>
        <w:t xml:space="preserve"> </w:t>
      </w:r>
      <w:r>
        <w:t xml:space="preserve">Student wants to withdraw and requests a refund shortly after starting.</w:t>
      </w:r>
    </w:p>
    <w:p>
      <w:pPr>
        <w:pStyle w:val="BodyText"/>
      </w:pPr>
      <w:r>
        <w:rPr>
          <w:b/>
        </w:rPr>
        <w:t xml:space="preserve">Conversation:</w:t>
      </w:r>
      <w:r>
        <w:t xml:space="preserve"> </w:t>
      </w:r>
      <w:r>
        <w:t xml:space="preserve">&gt; Student:</w:t>
      </w:r>
      <w:r>
        <w:t xml:space="preserve"> </w:t>
      </w:r>
      <w:r>
        <w:t xml:space="preserve">“</w:t>
      </w:r>
      <w:r>
        <w:t xml:space="preserve">I want to withdraw and get a refund.</w:t>
      </w:r>
      <w:r>
        <w:t xml:space="preserve">”</w:t>
      </w:r>
      <w:r>
        <w:t xml:space="preserve"> </w:t>
      </w:r>
      <w:r>
        <w:t xml:space="preserve">&gt; Counsellor:</w:t>
      </w:r>
      <w:r>
        <w:t xml:space="preserve"> </w:t>
      </w:r>
      <w:r>
        <w:t xml:space="preserve">“</w:t>
      </w:r>
      <w:r>
        <w:t xml:space="preserve">I understand — let me walk you through the accurate refund policy for where you are in the course, and also ask what’s driving the decision, in case there’s something we can actually help with first.</w:t>
      </w:r>
      <w:r>
        <w:t xml:space="preserve">”</w:t>
      </w:r>
    </w:p>
    <w:p>
      <w:pPr>
        <w:pStyle w:val="BodyText"/>
      </w:pPr>
      <w:r>
        <w:rPr>
          <w:b/>
        </w:rPr>
        <w:t xml:space="preserve">Common mistake:</w:t>
      </w:r>
      <w:r>
        <w:t xml:space="preserve"> </w:t>
      </w:r>
      <w:r>
        <w:t xml:space="preserve">Either refusing to discuss the reason at all, or pressuring the student to stay against their genuine wishes.</w:t>
      </w:r>
    </w:p>
    <w:p>
      <w:pPr>
        <w:pStyle w:val="BodyText"/>
      </w:pPr>
      <w:r>
        <w:rPr>
          <w:b/>
        </w:rPr>
        <w:t xml:space="preserve">Ideal approach:</w:t>
      </w:r>
      <w:r>
        <w:t xml:space="preserve"> </w:t>
      </w:r>
      <w:r>
        <w:t xml:space="preserve">State the accurate policy clearly, while genuinely exploring whether the underlying issue is solvable (Appendix G, Admission SOP).</w:t>
      </w:r>
    </w:p>
    <w:p>
      <w:pPr>
        <w:pStyle w:val="BodyText"/>
      </w:pPr>
      <w:r>
        <w:rPr>
          <w:b/>
        </w:rPr>
        <w:t xml:space="preserve">Coaching tip:</w:t>
      </w:r>
      <w:r>
        <w:t xml:space="preserve"> </w:t>
      </w:r>
      <w:r>
        <w:t xml:space="preserve">A refund conversation is still a counselling conversation — the same honesty standards apply.</w:t>
      </w:r>
    </w:p>
    <w:p>
      <w:r>
        <w:pict>
          <v:rect style="width:0;height:1.5pt" o:hralign="center" o:hrstd="t" o:hr="t"/>
        </w:pict>
      </w:r>
    </w:p>
    <w:p>
      <w:pPr>
        <w:pStyle w:val="Heading3"/>
      </w:pPr>
      <w:bookmarkStart w:id="69" w:name="X4ded999d0cbb07ea43de8fac54adea28d55a0d2"/>
      <w:r>
        <w:t xml:space="preserve">Role Play 55 — Student Unhappy With Faculty, Needs Escalation</w:t>
      </w:r>
      <w:bookmarkEnd w:id="69"/>
    </w:p>
    <w:p>
      <w:pPr>
        <w:pStyle w:val="FirstParagraph"/>
      </w:pPr>
      <w:r>
        <w:rPr>
          <w:b/>
        </w:rPr>
        <w:t xml:space="preserve">Background:</w:t>
      </w:r>
      <w:r>
        <w:t xml:space="preserve"> </w:t>
      </w:r>
      <w:r>
        <w:t xml:space="preserve">Student reports a specific concern about a faculty member’s teaching quality.</w:t>
      </w:r>
    </w:p>
    <w:p>
      <w:pPr>
        <w:pStyle w:val="BodyText"/>
      </w:pPr>
      <w:r>
        <w:rPr>
          <w:b/>
        </w:rPr>
        <w:t xml:space="preserve">Conversation:</w:t>
      </w:r>
      <w:r>
        <w:t xml:space="preserve"> </w:t>
      </w:r>
      <w:r>
        <w:t xml:space="preserve">&gt; Student:</w:t>
      </w:r>
      <w:r>
        <w:t xml:space="preserve"> </w:t>
      </w:r>
      <w:r>
        <w:t xml:space="preserve">“</w:t>
      </w:r>
      <w:r>
        <w:t xml:space="preserve">I don’t think the way this is being taught is working for me.</w:t>
      </w:r>
      <w:r>
        <w:t xml:space="preserve">”</w:t>
      </w:r>
      <w:r>
        <w:t xml:space="preserve"> </w:t>
      </w:r>
      <w:r>
        <w:t xml:space="preserve">&gt; Counsellor:</w:t>
      </w:r>
      <w:r>
        <w:t xml:space="preserve"> </w:t>
      </w:r>
      <w:r>
        <w:t xml:space="preserve">“</w:t>
      </w:r>
      <w:r>
        <w:t xml:space="preserve">Thank you for telling me directly — I want to take this seriously and make sure it reaches the right person to actually address it, rather than just apologizing and moving on.</w:t>
      </w:r>
      <w:r>
        <w:t xml:space="preserve">”</w:t>
      </w:r>
    </w:p>
    <w:p>
      <w:pPr>
        <w:pStyle w:val="BodyText"/>
      </w:pPr>
      <w:r>
        <w:rPr>
          <w:b/>
        </w:rPr>
        <w:t xml:space="preserve">Common mistake:</w:t>
      </w:r>
      <w:r>
        <w:t xml:space="preserve"> </w:t>
      </w:r>
      <w:r>
        <w:t xml:space="preserve">Dismissing the feedback or promising a fix without actually escalating it.</w:t>
      </w:r>
    </w:p>
    <w:p>
      <w:pPr>
        <w:pStyle w:val="BodyText"/>
      </w:pPr>
      <w:r>
        <w:rPr>
          <w:b/>
        </w:rPr>
        <w:t xml:space="preserve">Ideal approach:</w:t>
      </w:r>
      <w:r>
        <w:t xml:space="preserve"> </w:t>
      </w:r>
      <w:r>
        <w:t xml:space="preserve">Genuine escalation to the appropriate manager/Centre Head, not just verbal reassurance (Extended FAQ #250).</w:t>
      </w:r>
    </w:p>
    <w:p>
      <w:pPr>
        <w:pStyle w:val="BodyText"/>
      </w:pPr>
      <w:r>
        <w:rPr>
          <w:b/>
        </w:rPr>
        <w:t xml:space="preserve">Coaching tip:</w:t>
      </w:r>
      <w:r>
        <w:t xml:space="preserve"> </w:t>
      </w:r>
      <w:r>
        <w:t xml:space="preserve">Escalation follow-through is itself part of the</w:t>
      </w:r>
      <w:r>
        <w:t xml:space="preserve"> </w:t>
      </w:r>
      <w:r>
        <w:t xml:space="preserve">“</w:t>
      </w:r>
      <w:r>
        <w:t xml:space="preserve">student-first</w:t>
      </w:r>
      <w:r>
        <w:t xml:space="preserve">”</w:t>
      </w:r>
      <w:r>
        <w:t xml:space="preserve"> </w:t>
      </w:r>
      <w:r>
        <w:t xml:space="preserve">brand promise (1.3) — don’t let it become an empty gesture.</w:t>
      </w:r>
    </w:p>
    <w:p>
      <w:r>
        <w:pict>
          <v:rect style="width:0;height:1.5pt" o:hralign="center" o:hrstd="t" o:hr="t"/>
        </w:pict>
      </w:r>
    </w:p>
    <w:p>
      <w:pPr>
        <w:pStyle w:val="Heading3"/>
      </w:pPr>
      <w:bookmarkStart w:id="70" w:name="X06eeabb1e1107a39388d12d1a0a615c4aac6be0"/>
      <w:r>
        <w:t xml:space="preserve">Role Play 56 — Alumni Wants to Refer Friends</w:t>
      </w:r>
      <w:bookmarkEnd w:id="70"/>
    </w:p>
    <w:p>
      <w:pPr>
        <w:pStyle w:val="FirstParagraph"/>
      </w:pPr>
      <w:r>
        <w:rPr>
          <w:b/>
        </w:rPr>
        <w:t xml:space="preserve">Background:</w:t>
      </w:r>
      <w:r>
        <w:t xml:space="preserve"> </w:t>
      </w:r>
      <w:r>
        <w:t xml:space="preserve">A satisfied graduate wants to bring in two friends and asks about a referral benefit.</w:t>
      </w:r>
    </w:p>
    <w:p>
      <w:pPr>
        <w:pStyle w:val="BodyText"/>
      </w:pPr>
      <w:r>
        <w:rPr>
          <w:b/>
        </w:rPr>
        <w:t xml:space="preserve">Conversation:</w:t>
      </w:r>
      <w:r>
        <w:t xml:space="preserve"> </w:t>
      </w:r>
      <w:r>
        <w:t xml:space="preserve">&gt; Graduate:</w:t>
      </w:r>
      <w:r>
        <w:t xml:space="preserve"> </w:t>
      </w:r>
      <w:r>
        <w:t xml:space="preserve">“</w:t>
      </w:r>
      <w:r>
        <w:t xml:space="preserve">I want to send a couple of friends your way — is there anything in it for me?</w:t>
      </w:r>
      <w:r>
        <w:t xml:space="preserve">”</w:t>
      </w:r>
      <w:r>
        <w:t xml:space="preserve"> </w:t>
      </w:r>
      <w:r>
        <w:t xml:space="preserve">&gt; Counsellor:</w:t>
      </w:r>
      <w:r>
        <w:t xml:space="preserve"> </w:t>
      </w:r>
      <w:r>
        <w:t xml:space="preserve">“</w:t>
      </w:r>
      <w:r>
        <w:t xml:space="preserve">That means a lot, thank you — let me check the current referral policy, if any, and in the meantime I’d love to make sure your friends get the same thorough conversation you did.</w:t>
      </w:r>
      <w:r>
        <w:t xml:space="preserve">”</w:t>
      </w:r>
    </w:p>
    <w:p>
      <w:pPr>
        <w:pStyle w:val="BodyText"/>
      </w:pPr>
      <w:r>
        <w:rPr>
          <w:b/>
        </w:rPr>
        <w:t xml:space="preserve">Common mistake:</w:t>
      </w:r>
      <w:r>
        <w:t xml:space="preserve"> </w:t>
      </w:r>
      <w:r>
        <w:t xml:space="preserve">Improvising a referral incentive that isn’t officially approved.</w:t>
      </w:r>
    </w:p>
    <w:p>
      <w:pPr>
        <w:pStyle w:val="BodyText"/>
      </w:pPr>
      <w:r>
        <w:rPr>
          <w:b/>
        </w:rPr>
        <w:t xml:space="preserve">Ideal approach:</w:t>
      </w:r>
      <w:r>
        <w:t xml:space="preserve"> </w:t>
      </w:r>
      <w:r>
        <w:t xml:space="preserve">Confirm actual current referral policy; treat the referred friends with the full Discovery process, not a shortcut (1.3).</w:t>
      </w:r>
    </w:p>
    <w:p>
      <w:pPr>
        <w:pStyle w:val="BodyText"/>
      </w:pPr>
      <w:r>
        <w:rPr>
          <w:b/>
        </w:rPr>
        <w:t xml:space="preserve">Coaching tip:</w:t>
      </w:r>
      <w:r>
        <w:t xml:space="preserve"> </w:t>
      </w:r>
      <w:r>
        <w:t xml:space="preserve">Referred leads still deserve full Discovery — trust in the referrer shouldn’t shortcut the process for the new student.</w:t>
      </w:r>
    </w:p>
    <w:p>
      <w:r>
        <w:pict>
          <v:rect style="width:0;height:1.5pt" o:hralign="center" o:hrstd="t" o:hr="t"/>
        </w:pict>
      </w:r>
    </w:p>
    <w:p>
      <w:pPr>
        <w:pStyle w:val="Heading3"/>
      </w:pPr>
      <w:bookmarkStart w:id="71" w:name="X6145bca331d14ff88c53c3d9969c5dc29f079ed"/>
      <w:r>
        <w:t xml:space="preserve">Role Play 57 — Confusion Between Lab-Grown and Natural Pricing</w:t>
      </w:r>
      <w:bookmarkEnd w:id="71"/>
    </w:p>
    <w:p>
      <w:pPr>
        <w:pStyle w:val="FirstParagraph"/>
      </w:pPr>
      <w:r>
        <w:rPr>
          <w:b/>
        </w:rPr>
        <w:t xml:space="preserve">Background:</w:t>
      </w:r>
      <w:r>
        <w:t xml:space="preserve"> </w:t>
      </w:r>
      <w:r>
        <w:t xml:space="preserve">Student conflates lab-grown diamond pricing trends with natural diamond value, worried about a</w:t>
      </w:r>
      <w:r>
        <w:t xml:space="preserve"> </w:t>
      </w:r>
      <w:r>
        <w:t xml:space="preserve">“</w:t>
      </w:r>
      <w:r>
        <w:t xml:space="preserve">collapsing market.</w:t>
      </w:r>
      <w:r>
        <w:t xml:space="preserve">”</w:t>
      </w:r>
    </w:p>
    <w:p>
      <w:pPr>
        <w:pStyle w:val="BodyText"/>
      </w:pPr>
      <w:r>
        <w:rPr>
          <w:b/>
        </w:rPr>
        <w:t xml:space="preserve">Conversation:</w:t>
      </w:r>
      <w:r>
        <w:t xml:space="preserve"> </w:t>
      </w:r>
      <w:r>
        <w:t xml:space="preserve">&gt; Student:</w:t>
      </w:r>
      <w:r>
        <w:t xml:space="preserve"> </w:t>
      </w:r>
      <w:r>
        <w:t xml:space="preserve">“</w:t>
      </w:r>
      <w:r>
        <w:t xml:space="preserve">I heard diamond prices are collapsing because of lab-grown ones — is this even worth it?</w:t>
      </w:r>
      <w:r>
        <w:t xml:space="preserve">”</w:t>
      </w:r>
      <w:r>
        <w:t xml:space="preserve"> </w:t>
      </w:r>
      <w:r>
        <w:t xml:space="preserve">&gt; Counsellor:</w:t>
      </w:r>
      <w:r>
        <w:t xml:space="preserve"> </w:t>
      </w:r>
      <w:r>
        <w:t xml:space="preserve">“</w:t>
      </w:r>
      <w:r>
        <w:t xml:space="preserve">That’s a common mix-up — lab-grown and natural diamonds are increasingly distinct markets with their own pricing dynamics, not one replacing the other. Let me walk you through how that actually plays out for someone in this field.</w:t>
      </w:r>
      <w:r>
        <w:t xml:space="preserve">”</w:t>
      </w:r>
    </w:p>
    <w:p>
      <w:pPr>
        <w:pStyle w:val="BodyText"/>
      </w:pPr>
      <w:r>
        <w:rPr>
          <w:b/>
        </w:rPr>
        <w:t xml:space="preserve">Common mistake:</w:t>
      </w:r>
      <w:r>
        <w:t xml:space="preserve"> </w:t>
      </w:r>
      <w:r>
        <w:t xml:space="preserve">Dismissing the concern instead of clarifying the actual market distinction.</w:t>
      </w:r>
    </w:p>
    <w:p>
      <w:pPr>
        <w:pStyle w:val="BodyText"/>
      </w:pPr>
      <w:r>
        <w:rPr>
          <w:b/>
        </w:rPr>
        <w:t xml:space="preserve">Ideal approach:</w:t>
      </w:r>
      <w:r>
        <w:t xml:space="preserve"> </w:t>
      </w:r>
      <w:r>
        <w:t xml:space="preserve">Clear, factual market education (12.3, Extended FAQ #163-176).</w:t>
      </w:r>
    </w:p>
    <w:p>
      <w:pPr>
        <w:pStyle w:val="BodyText"/>
      </w:pPr>
      <w:r>
        <w:rPr>
          <w:b/>
        </w:rPr>
        <w:t xml:space="preserve">Coaching tip:</w:t>
      </w:r>
      <w:r>
        <w:t xml:space="preserve"> </w:t>
      </w:r>
      <w:r>
        <w:t xml:space="preserve">Market-confusion objections are usually a knowledge gap, not genuine resistance — a good explanation resolves them completely.</w:t>
      </w:r>
    </w:p>
    <w:p>
      <w:r>
        <w:pict>
          <v:rect style="width:0;height:1.5pt" o:hralign="center" o:hrstd="t" o:hr="t"/>
        </w:pict>
      </w:r>
    </w:p>
    <w:p>
      <w:pPr>
        <w:pStyle w:val="Heading3"/>
      </w:pPr>
      <w:bookmarkStart w:id="72" w:name="Xad4a32ce2a246824ce587828240e1eb18df63ed"/>
      <w:r>
        <w:t xml:space="preserve">Role Play 58 — Concern About Gender Bias in Manufacturing</w:t>
      </w:r>
      <w:bookmarkEnd w:id="72"/>
    </w:p>
    <w:p>
      <w:pPr>
        <w:pStyle w:val="FirstParagraph"/>
      </w:pPr>
      <w:r>
        <w:rPr>
          <w:b/>
        </w:rPr>
        <w:t xml:space="preserve">Background:</w:t>
      </w:r>
      <w:r>
        <w:t xml:space="preserve"> </w:t>
      </w:r>
      <w:r>
        <w:t xml:space="preserve">A woman interested in a manufacturing/QC career worries about being taken seriously on a factory floor.</w:t>
      </w:r>
    </w:p>
    <w:p>
      <w:pPr>
        <w:pStyle w:val="BodyText"/>
      </w:pPr>
      <w:r>
        <w:rPr>
          <w:b/>
        </w:rPr>
        <w:t xml:space="preserve">Conversation:</w:t>
      </w:r>
      <w:r>
        <w:t xml:space="preserve"> </w:t>
      </w:r>
      <w:r>
        <w:t xml:space="preserve">&gt; Student:</w:t>
      </w:r>
      <w:r>
        <w:t xml:space="preserve"> </w:t>
      </w:r>
      <w:r>
        <w:t xml:space="preserve">“</w:t>
      </w:r>
      <w:r>
        <w:t xml:space="preserve">Will I be taken seriously as a woman in a manufacturing QC role?</w:t>
      </w:r>
      <w:r>
        <w:t xml:space="preserve">”</w:t>
      </w:r>
      <w:r>
        <w:t xml:space="preserve"> </w:t>
      </w:r>
      <w:r>
        <w:t xml:space="preserve">&gt; Counsellor:</w:t>
      </w:r>
      <w:r>
        <w:t xml:space="preserve"> </w:t>
      </w:r>
      <w:r>
        <w:t xml:space="preserve">“</w:t>
      </w:r>
      <w:r>
        <w:t xml:space="preserve">That’s a fair and important concern — I won’t pretend every environment is equally progressive, but women are increasingly present and respected across grading and QC roles, and your credential gives you a strong, objective basis to be judged on merit.</w:t>
      </w:r>
      <w:r>
        <w:t xml:space="preserve">”</w:t>
      </w:r>
    </w:p>
    <w:p>
      <w:pPr>
        <w:pStyle w:val="BodyText"/>
      </w:pPr>
      <w:r>
        <w:rPr>
          <w:b/>
        </w:rPr>
        <w:t xml:space="preserve">Common mistake:</w:t>
      </w:r>
      <w:r>
        <w:t xml:space="preserve"> </w:t>
      </w:r>
      <w:r>
        <w:t xml:space="preserve">Giving an overly rosy, dismissive answer that doesn’t acknowledge the real concern.</w:t>
      </w:r>
    </w:p>
    <w:p>
      <w:pPr>
        <w:pStyle w:val="BodyText"/>
      </w:pPr>
      <w:r>
        <w:rPr>
          <w:b/>
        </w:rPr>
        <w:t xml:space="preserve">Ideal approach:</w:t>
      </w:r>
      <w:r>
        <w:t xml:space="preserve"> </w:t>
      </w:r>
      <w:r>
        <w:t xml:space="preserve">Honest acknowledgment plus factual, respectful reassurance about genuine industry progress (Extended FAQ #237).</w:t>
      </w:r>
    </w:p>
    <w:p>
      <w:pPr>
        <w:pStyle w:val="BodyText"/>
      </w:pPr>
      <w:r>
        <w:rPr>
          <w:b/>
        </w:rPr>
        <w:t xml:space="preserve">Coaching tip:</w:t>
      </w:r>
      <w:r>
        <w:t xml:space="preserve"> </w:t>
      </w:r>
      <w:r>
        <w:t xml:space="preserve">Respect the concern as legitimate before reassuring — reassurance without acknowledgment can feel dismissive.</w:t>
      </w:r>
    </w:p>
    <w:p>
      <w:r>
        <w:pict>
          <v:rect style="width:0;height:1.5pt" o:hralign="center" o:hrstd="t" o:hr="t"/>
        </w:pict>
      </w:r>
    </w:p>
    <w:p>
      <w:pPr>
        <w:pStyle w:val="Heading3"/>
      </w:pPr>
      <w:bookmarkStart w:id="73" w:name="X33852f65c4ed92bdad17581891ffa54c74974a0"/>
      <w:r>
        <w:t xml:space="preserve">Role Play 59 — Accessibility Accommodation Request</w:t>
      </w:r>
      <w:bookmarkEnd w:id="73"/>
    </w:p>
    <w:p>
      <w:pPr>
        <w:pStyle w:val="FirstParagraph"/>
      </w:pPr>
      <w:r>
        <w:rPr>
          <w:b/>
        </w:rPr>
        <w:t xml:space="preserve">Background:</w:t>
      </w:r>
      <w:r>
        <w:t xml:space="preserve"> </w:t>
      </w:r>
      <w:r>
        <w:t xml:space="preserve">A student with a mobility disability asks about lab accessibility.</w:t>
      </w:r>
    </w:p>
    <w:p>
      <w:pPr>
        <w:pStyle w:val="BodyText"/>
      </w:pPr>
      <w:r>
        <w:rPr>
          <w:b/>
        </w:rPr>
        <w:t xml:space="preserve">Conversation:</w:t>
      </w:r>
      <w:r>
        <w:t xml:space="preserve"> </w:t>
      </w:r>
      <w:r>
        <w:t xml:space="preserve">&gt; Student:</w:t>
      </w:r>
      <w:r>
        <w:t xml:space="preserve"> </w:t>
      </w:r>
      <w:r>
        <w:t xml:space="preserve">“</w:t>
      </w:r>
      <w:r>
        <w:t xml:space="preserve">I have a mobility disability — can the lab sessions accommodate that?</w:t>
      </w:r>
      <w:r>
        <w:t xml:space="preserve">”</w:t>
      </w:r>
      <w:r>
        <w:t xml:space="preserve"> </w:t>
      </w:r>
      <w:r>
        <w:t xml:space="preserve">&gt; Counsellor:</w:t>
      </w:r>
      <w:r>
        <w:t xml:space="preserve"> </w:t>
      </w:r>
      <w:r>
        <w:t xml:space="preserve">“</w:t>
      </w:r>
      <w:r>
        <w:t xml:space="preserve">Thank you for telling me directly — let me check specifically with the centre what accommodations are available so I can give you an accurate answer rather than a guess.</w:t>
      </w:r>
      <w:r>
        <w:t xml:space="preserve">”</w:t>
      </w:r>
    </w:p>
    <w:p>
      <w:pPr>
        <w:pStyle w:val="BodyText"/>
      </w:pPr>
      <w:r>
        <w:rPr>
          <w:b/>
        </w:rPr>
        <w:t xml:space="preserve">Common mistake:</w:t>
      </w:r>
      <w:r>
        <w:t xml:space="preserve"> </w:t>
      </w:r>
      <w:r>
        <w:t xml:space="preserve">Giving a vague, non-committal answer instead of actually checking.</w:t>
      </w:r>
    </w:p>
    <w:p>
      <w:pPr>
        <w:pStyle w:val="BodyText"/>
      </w:pPr>
      <w:r>
        <w:rPr>
          <w:b/>
        </w:rPr>
        <w:t xml:space="preserve">Ideal approach:</w:t>
      </w:r>
      <w:r>
        <w:t xml:space="preserve"> </w:t>
      </w:r>
      <w:r>
        <w:t xml:space="preserve">Escalate to the centre for accurate accessibility information rather than assuming (Extended FAQ #53).</w:t>
      </w:r>
    </w:p>
    <w:p>
      <w:pPr>
        <w:pStyle w:val="BodyText"/>
      </w:pPr>
      <w:r>
        <w:rPr>
          <w:b/>
        </w:rPr>
        <w:t xml:space="preserve">Coaching tip:</w:t>
      </w:r>
      <w:r>
        <w:t xml:space="preserve"> </w:t>
      </w:r>
      <w:r>
        <w:t xml:space="preserve">Accessibility questions deserve the same rigor as fee questions — verify, don’t improvise.</w:t>
      </w:r>
    </w:p>
    <w:p>
      <w:r>
        <w:pict>
          <v:rect style="width:0;height:1.5pt" o:hralign="center" o:hrstd="t" o:hr="t"/>
        </w:pict>
      </w:r>
    </w:p>
    <w:p>
      <w:pPr>
        <w:pStyle w:val="Heading3"/>
      </w:pPr>
      <w:bookmarkStart w:id="74" w:name="X4096a3149c9a7f8e4c6963f4a7870e0cc85eff3"/>
      <w:r>
        <w:t xml:space="preserve">Role Play 60 — Reverse Family Pressure: Family Wants Her in a Different Field</w:t>
      </w:r>
      <w:bookmarkEnd w:id="74"/>
    </w:p>
    <w:p>
      <w:pPr>
        <w:pStyle w:val="FirstParagraph"/>
      </w:pPr>
      <w:r>
        <w:rPr>
          <w:b/>
        </w:rPr>
        <w:t xml:space="preserve">Background:</w:t>
      </w:r>
      <w:r>
        <w:t xml:space="preserve"> </w:t>
      </w:r>
      <w:r>
        <w:t xml:space="preserve">A jeweller’s daughter is personally passionate about gemology, but her family wants her to pursue a</w:t>
      </w:r>
      <w:r>
        <w:t xml:space="preserve"> </w:t>
      </w:r>
      <w:r>
        <w:t xml:space="preserve">“</w:t>
      </w:r>
      <w:r>
        <w:t xml:space="preserve">more conventional</w:t>
      </w:r>
      <w:r>
        <w:t xml:space="preserve">”</w:t>
      </w:r>
      <w:r>
        <w:t xml:space="preserve"> </w:t>
      </w:r>
      <w:r>
        <w:t xml:space="preserve">career instead.</w:t>
      </w:r>
    </w:p>
    <w:p>
      <w:pPr>
        <w:pStyle w:val="BodyText"/>
      </w:pPr>
      <w:r>
        <w:rPr>
          <w:b/>
        </w:rPr>
        <w:t xml:space="preserve">Conversation:</w:t>
      </w:r>
      <w:r>
        <w:t xml:space="preserve"> </w:t>
      </w:r>
      <w:r>
        <w:t xml:space="preserve">&gt; Student:</w:t>
      </w:r>
      <w:r>
        <w:t xml:space="preserve"> </w:t>
      </w:r>
      <w:r>
        <w:t xml:space="preserve">“</w:t>
      </w:r>
      <w:r>
        <w:t xml:space="preserve">My family actually doesn’t want me doing this — they think it’s beneath what I should be doing.</w:t>
      </w:r>
      <w:r>
        <w:t xml:space="preserve">”</w:t>
      </w:r>
      <w:r>
        <w:t xml:space="preserve"> </w:t>
      </w:r>
      <w:r>
        <w:t xml:space="preserve">&gt; Counsellor:</w:t>
      </w:r>
      <w:r>
        <w:t xml:space="preserve"> </w:t>
      </w:r>
      <w:r>
        <w:t xml:space="preserve">“</w:t>
      </w:r>
      <w:r>
        <w:t xml:space="preserve">That’s a harder dynamic than the usual</w:t>
      </w:r>
      <w:r>
        <w:t xml:space="preserve"> </w:t>
      </w:r>
      <w:r>
        <w:t xml:space="preserve">‘</w:t>
      </w:r>
      <w:r>
        <w:t xml:space="preserve">convince my parents this is legitimate</w:t>
      </w:r>
      <w:r>
        <w:t xml:space="preserve">’</w:t>
      </w:r>
      <w:r>
        <w:t xml:space="preserve"> </w:t>
      </w:r>
      <w:r>
        <w:t xml:space="preserve">conversation — would it help if I spoke with them about how this field has genuinely evolved, and the real career paths it offers?</w:t>
      </w:r>
      <w:r>
        <w:t xml:space="preserve">”</w:t>
      </w:r>
    </w:p>
    <w:p>
      <w:pPr>
        <w:pStyle w:val="BodyText"/>
      </w:pPr>
      <w:r>
        <w:rPr>
          <w:b/>
        </w:rPr>
        <w:t xml:space="preserve">Common mistake:</w:t>
      </w:r>
      <w:r>
        <w:t xml:space="preserve"> </w:t>
      </w:r>
      <w:r>
        <w:t xml:space="preserve">Assuming all family objections are about legitimacy, when this one is about status/perception instead.</w:t>
      </w:r>
    </w:p>
    <w:p>
      <w:pPr>
        <w:pStyle w:val="BodyText"/>
      </w:pPr>
      <w:r>
        <w:rPr>
          <w:b/>
        </w:rPr>
        <w:t xml:space="preserve">Ideal approach:</w:t>
      </w:r>
      <w:r>
        <w:t xml:space="preserve"> </w:t>
      </w:r>
      <w:r>
        <w:t xml:space="preserve">Diagnose the actual nature of family resistance before responding — status concerns need a different conversation than legitimacy concerns (2.4).</w:t>
      </w:r>
    </w:p>
    <w:p>
      <w:pPr>
        <w:pStyle w:val="BodyText"/>
      </w:pPr>
      <w:r>
        <w:rPr>
          <w:b/>
        </w:rPr>
        <w:t xml:space="preserve">Coaching tip:</w:t>
      </w:r>
      <w:r>
        <w:t xml:space="preserve"> </w:t>
      </w:r>
      <w:r>
        <w:t xml:space="preserve">Not every family objection is the same objection wearing different words — listen for what’s actually being protected.</w:t>
      </w:r>
    </w:p>
    <w:p>
      <w:r>
        <w:pict>
          <v:rect style="width:0;height:1.5pt" o:hralign="center" o:hrstd="t" o:hr="t"/>
        </w:pict>
      </w:r>
    </w:p>
    <w:p>
      <w:pPr>
        <w:pStyle w:val="FirstParagraph"/>
      </w:pPr>
      <w:r>
        <w:rPr>
          <w:i/>
        </w:rPr>
        <w:t xml:space="preserve">(Continued: Role Plays 61-100, Quick-Practice Drill format — Part 2.)</w:t>
      </w:r>
      <w:r>
        <w:t xml:space="preserve"> </w:t>
      </w:r>
    </w:p>
    <w:p>
      <w:pPr>
        <w:pStyle w:val="Heading1"/>
      </w:pPr>
      <w:bookmarkStart w:id="75" w:name="role-plays-61-100-quick-practice-drills"/>
      <w:r>
        <w:t xml:space="preserve">ROLE PLAYS 61-100 — QUICK-PRACTICE DRILLS</w:t>
      </w:r>
      <w:bookmarkEnd w:id="75"/>
    </w:p>
    <w:p>
      <w:pPr>
        <w:pStyle w:val="BlockText"/>
      </w:pPr>
      <w:r>
        <w:t xml:space="preserve">Use these for fast daily rotation once a counsellor has completed initial certification. Pick one at random, run it for 5 minutes with a partner, then discuss the</w:t>
      </w:r>
      <w:r>
        <w:t xml:space="preserve"> </w:t>
      </w:r>
      <w:r>
        <w:t xml:space="preserve">“</w:t>
      </w:r>
      <w:r>
        <w:t xml:space="preserve">Coaching Focus</w:t>
      </w:r>
      <w:r>
        <w:t xml:space="preserve">”</w:t>
      </w:r>
      <w:r>
        <w:t xml:space="preserve"> </w:t>
      </w:r>
      <w:r>
        <w:t xml:space="preserve">column together. Full-format scenarios are in Part 1 (Role Plays 1-60).</w:t>
      </w:r>
    </w:p>
    <w:tbl>
      <w:tblPr>
        <w:tblStyle w:val="Table"/>
        <w:tblLook w:firstRow="1"/>
        <w:tblW w:w="5000" w:type="pct"/>
        <w:tblLayout w:type="fixed"/>
      </w:tblPr>
      <w:tblGrid>
        <w:gridCol w:w="1584"/>
        <w:gridCol w:w="1584"/>
        <w:gridCol w:w="1584"/>
        <w:gridCol w:w="1584"/>
        <w:gridCol w:w="1584"/>
      </w:tblGrid>
      <w:tr>
        <w:trPr>
          <w:cnfStyle w:firstRow="1"/>
          <w:tblHeader w:val="true"/>
        </w:trPr>
        <w:tc>
          <w:tcPr>
            <w:tcBorders>
              <w:bottom w:val="single"/>
            </w:tcBorders>
            <w:vAlign w:val="bottom"/>
            <w:tcW w:w="1000" w:type="pct"/>
            <w:tcBorders>
              <w:top w:val="single" w:sz="4" w:space="0" w:color="B9A66B"/>
              <w:left w:val="single" w:sz="4" w:space="0" w:color="B9A66B"/>
              <w:bottom w:val="single" w:sz="4" w:space="0" w:color="B9A66B"/>
              <w:right w:val="single" w:sz="4" w:space="0" w:color="B9A66B"/>
            </w:tcBorders>
            <w:shd w:val="clear" w:fill="142A4D"/>
          </w:tcPr>
          <w:p>
            <w:pPr>
              <w:pStyle w:val="Compact"/>
              <w:jc w:val="left"/>
            </w:pPr>
            <w:r>
              <w:rPr>
                <w:b/>
                <w:color w:val="FFFFFF"/>
              </w:rPr>
              <w:t xml:space="preserve">#</w:t>
            </w:r>
          </w:p>
        </w:tc>
        <w:tc>
          <w:tcPr>
            <w:tcBorders>
              <w:bottom w:val="single"/>
            </w:tcBorders>
            <w:vAlign w:val="bottom"/>
            <w:tcW w:w="1000" w:type="pct"/>
            <w:tcBorders>
              <w:top w:val="single" w:sz="4" w:space="0" w:color="B9A66B"/>
              <w:left w:val="single" w:sz="4" w:space="0" w:color="B9A66B"/>
              <w:bottom w:val="single" w:sz="4" w:space="0" w:color="B9A66B"/>
              <w:right w:val="single" w:sz="4" w:space="0" w:color="B9A66B"/>
            </w:tcBorders>
            <w:shd w:val="clear" w:fill="142A4D"/>
          </w:tcPr>
          <w:p>
            <w:pPr>
              <w:pStyle w:val="Compact"/>
              <w:jc w:val="left"/>
            </w:pPr>
            <w:r>
              <w:rPr>
                <w:b/>
                <w:color w:val="FFFFFF"/>
              </w:rPr>
              <w:t xml:space="preserve">Scenario</w:t>
            </w:r>
          </w:p>
        </w:tc>
        <w:tc>
          <w:tcPr>
            <w:tcBorders>
              <w:bottom w:val="single"/>
            </w:tcBorders>
            <w:vAlign w:val="bottom"/>
            <w:tcW w:w="1000" w:type="pct"/>
            <w:tcBorders>
              <w:top w:val="single" w:sz="4" w:space="0" w:color="B9A66B"/>
              <w:left w:val="single" w:sz="4" w:space="0" w:color="B9A66B"/>
              <w:bottom w:val="single" w:sz="4" w:space="0" w:color="B9A66B"/>
              <w:right w:val="single" w:sz="4" w:space="0" w:color="B9A66B"/>
            </w:tcBorders>
            <w:shd w:val="clear" w:fill="142A4D"/>
          </w:tcPr>
          <w:p>
            <w:pPr>
              <w:pStyle w:val="Compact"/>
              <w:jc w:val="left"/>
            </w:pPr>
            <w:r>
              <w:rPr>
                <w:b/>
                <w:color w:val="FFFFFF"/>
              </w:rPr>
              <w:t xml:space="preserve">Key challenge</w:t>
            </w:r>
          </w:p>
        </w:tc>
        <w:tc>
          <w:tcPr>
            <w:tcBorders>
              <w:bottom w:val="single"/>
            </w:tcBorders>
            <w:vAlign w:val="bottom"/>
            <w:tcW w:w="1000" w:type="pct"/>
            <w:tcBorders>
              <w:top w:val="single" w:sz="4" w:space="0" w:color="B9A66B"/>
              <w:left w:val="single" w:sz="4" w:space="0" w:color="B9A66B"/>
              <w:bottom w:val="single" w:sz="4" w:space="0" w:color="B9A66B"/>
              <w:right w:val="single" w:sz="4" w:space="0" w:color="B9A66B"/>
            </w:tcBorders>
            <w:shd w:val="clear" w:fill="142A4D"/>
          </w:tcPr>
          <w:p>
            <w:pPr>
              <w:pStyle w:val="Compact"/>
              <w:jc w:val="left"/>
            </w:pPr>
            <w:r>
              <w:rPr>
                <w:b/>
                <w:color w:val="FFFFFF"/>
              </w:rPr>
              <w:t xml:space="preserve">Ideal response direction</w:t>
            </w:r>
          </w:p>
        </w:tc>
        <w:tc>
          <w:tcPr>
            <w:tcBorders>
              <w:bottom w:val="single"/>
            </w:tcBorders>
            <w:vAlign w:val="bottom"/>
            <w:tcW w:w="1000" w:type="pct"/>
            <w:tcBorders>
              <w:top w:val="single" w:sz="4" w:space="0" w:color="B9A66B"/>
              <w:left w:val="single" w:sz="4" w:space="0" w:color="B9A66B"/>
              <w:bottom w:val="single" w:sz="4" w:space="0" w:color="B9A66B"/>
              <w:right w:val="single" w:sz="4" w:space="0" w:color="B9A66B"/>
            </w:tcBorders>
            <w:shd w:val="clear" w:fill="142A4D"/>
          </w:tcPr>
          <w:p>
            <w:pPr>
              <w:pStyle w:val="Compact"/>
              <w:jc w:val="left"/>
            </w:pPr>
            <w:r>
              <w:rPr>
                <w:b/>
                <w:color w:val="FFFFFF"/>
              </w:rPr>
              <w:t xml:space="preserve">Coaching focus</w:t>
            </w:r>
          </w:p>
        </w:tc>
      </w:tr>
      <w:tr>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61</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Student asks for a callback at a very specific inconvenient time</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Balancing accommodation with realistic scheduling</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Offer the closest genuinely available slot, don’t overpromise</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Reliability over people-pleasing</w:t>
            </w:r>
          </w:p>
        </w:tc>
      </w:tr>
      <w:tr>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62</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Student wants to know your personal opinion on</w:t>
            </w:r>
            <w:r>
              <w:t xml:space="preserve"> </w:t>
            </w:r>
            <w:r>
              <w:t xml:space="preserve">“</w:t>
            </w:r>
            <w:r>
              <w:t xml:space="preserve">is this a good career</w:t>
            </w:r>
            <w:r>
              <w:t xml:space="preserve">”</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Avoiding both empty hype and discouraging honesty</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Share realistic, balanced perspective, not a sales pitch</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Genuine advisor tone</w:t>
            </w:r>
          </w:p>
        </w:tc>
      </w:tr>
      <w:tr>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63</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Student compares fee to an unrelated degree program’s cost</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Apples-to-oranges comparison</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Reframe around career objective fit, not raw cost comparison</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Redirect to Decision Matrix (3.8)</w:t>
            </w:r>
          </w:p>
        </w:tc>
      </w:tr>
      <w:tr>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64</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Parent asks if you personally would recommend this for your own child</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Authenticity test</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Answer honestly and specifically, don’t deflect</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Trust through directness</w:t>
            </w:r>
          </w:p>
        </w:tc>
      </w:tr>
      <w:tr>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65</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Student wants to enroll but hasn’t decided which course</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Ambiguous readiness</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Run full Needs Analysis before allowing enrolment</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Never enroll into an undefined course</w:t>
            </w:r>
          </w:p>
        </w:tc>
      </w:tr>
      <w:tr>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66</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Student asks why the batch schedule keeps changing</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Operational transparency</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Give the accurate current reason, escalate if unclear</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Honesty over vague reassurance</w:t>
            </w:r>
          </w:p>
        </w:tc>
      </w:tr>
      <w:tr>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67</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Working professional asks if this will</w:t>
            </w:r>
            <w:r>
              <w:t xml:space="preserve"> </w:t>
            </w:r>
            <w:r>
              <w:t xml:space="preserve">“</w:t>
            </w:r>
            <w:r>
              <w:t xml:space="preserve">look strange</w:t>
            </w:r>
            <w:r>
              <w:t xml:space="preserve">”</w:t>
            </w:r>
            <w:r>
              <w:t xml:space="preserve"> </w:t>
            </w:r>
            <w:r>
              <w:t xml:space="preserve">on their resume</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Career-narrative anxiety</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Help frame it as a deliberate specialization, not a red flag</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Career storytelling support</w:t>
            </w:r>
          </w:p>
        </w:tc>
      </w:tr>
      <w:tr>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68</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Student wants a written guarantee of specific salary</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Overpromising risk</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Firmly decline, offer realistic ranges instead</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Ethics over closing pressure (8.9)</w:t>
            </w:r>
          </w:p>
        </w:tc>
      </w:tr>
      <w:tr>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69</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Parent asks to sit in on every class</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Overinvolvement management</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Set respectful boundaries around student independence</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Balancing family involvement and student autonomy</w:t>
            </w:r>
          </w:p>
        </w:tc>
      </w:tr>
      <w:tr>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70</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Student wants to know if faculty are</w:t>
            </w:r>
            <w:r>
              <w:t xml:space="preserve"> </w:t>
            </w:r>
            <w:r>
              <w:t xml:space="preserve">“</w:t>
            </w:r>
            <w:r>
              <w:t xml:space="preserve">actually experts</w:t>
            </w:r>
            <w:r>
              <w:t xml:space="preserve">”</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Credibility check</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Describe faculty credentials factually and specifically</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Specificity beats general reassurance</w:t>
            </w:r>
          </w:p>
        </w:tc>
      </w:tr>
      <w:tr>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71</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Entrepreneur wants a one-day crash course that doesn’t exist</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Unrealistic expectation-setting</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Explain honestly what’s achievable in one day vs. real competence-building</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Manage expectations without discouraging</w:t>
            </w:r>
          </w:p>
        </w:tc>
      </w:tr>
      <w:tr>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72</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Student asks if they can pay someone else to take the practical exam</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Integrity boundary</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Firmly and calmly explain this is not permissible</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Non-negotiable ethical line</w:t>
            </w:r>
          </w:p>
        </w:tc>
      </w:tr>
      <w:tr>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73</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Student wants to know the</w:t>
            </w:r>
            <w:r>
              <w:t xml:space="preserve"> </w:t>
            </w:r>
            <w:r>
              <w:t xml:space="preserve">“</w:t>
            </w:r>
            <w:r>
              <w:t xml:space="preserve">easiest</w:t>
            </w:r>
            <w:r>
              <w:t xml:space="preserve">”</w:t>
            </w:r>
            <w:r>
              <w:t xml:space="preserve"> </w:t>
            </w:r>
            <w:r>
              <w:t xml:space="preserve">course to just get a certificate</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Motivation misalignment flag</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Explore the real underlying goal before recommending anything</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Diagnose intent, don’t just fulfill the literal request</w:t>
            </w:r>
          </w:p>
        </w:tc>
      </w:tr>
      <w:tr>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74</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International student asks about weather/culture adjustment</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Non-academic logistics support</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Offer practical, honest guidance, refer to local resources as needed</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Holistic student support</w:t>
            </w:r>
          </w:p>
        </w:tc>
      </w:tr>
      <w:tr>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75</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Student wants to know if this course</w:t>
            </w:r>
            <w:r>
              <w:t xml:space="preserve"> </w:t>
            </w:r>
            <w:r>
              <w:t xml:space="preserve">“</w:t>
            </w:r>
            <w:r>
              <w:t xml:space="preserve">still matters</w:t>
            </w:r>
            <w:r>
              <w:t xml:space="preserve">”</w:t>
            </w:r>
            <w:r>
              <w:t xml:space="preserve"> </w:t>
            </w:r>
            <w:r>
              <w:t xml:space="preserve">post-pandemic-era shifts</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Relevance anxiety</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Reference genuine current market trends (Section 12)</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Current, specific reassurance</w:t>
            </w:r>
          </w:p>
        </w:tc>
      </w:tr>
      <w:tr>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76</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Student asks to speak to a graduate directly before deciding</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Peer validation request</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Facilitate if a genuine willing alumnus exists; don’t fabricate one</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Authenticity over fabricated testimonials</w:t>
            </w:r>
          </w:p>
        </w:tc>
      </w:tr>
      <w:tr>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77</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Student wants to compare this to a friend’s completely unrelated career choice</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Comparison confusion</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Redirect gently to their own stated goals</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Keep focus on the individual’s own Needs Analysis</w:t>
            </w:r>
          </w:p>
        </w:tc>
      </w:tr>
      <w:tr>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78</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Corporate client wants a same-week turnaround on a proposal</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Time pressure on scoping</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Set a realistic timeline while showing urgency in response</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Under-promise, over-deliver</w:t>
            </w:r>
          </w:p>
        </w:tc>
      </w:tr>
      <w:tr>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79</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Student asks if remote/online study feels</w:t>
            </w:r>
            <w:r>
              <w:t xml:space="preserve"> </w:t>
            </w:r>
            <w:r>
              <w:t xml:space="preserve">“</w:t>
            </w:r>
            <w:r>
              <w:t xml:space="preserve">lonely</w:t>
            </w:r>
            <w:r>
              <w:t xml:space="preserve">”</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Emotional/social concern about format</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Address honestly, mention any cohort/community elements that exist</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Emotional needs are legitimate Discovery inputs</w:t>
            </w:r>
          </w:p>
        </w:tc>
      </w:tr>
      <w:tr>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80</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Student wants to negotiate starting the course before paying in full</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Payment sequencing boundary</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Explain current payment-before-start policy clearly and kindly</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Policy clarity without harshness</w:t>
            </w:r>
          </w:p>
        </w:tc>
      </w:tr>
      <w:tr>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81</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Parent worried their child will</w:t>
            </w:r>
            <w:r>
              <w:t xml:space="preserve"> </w:t>
            </w:r>
            <w:r>
              <w:t xml:space="preserve">“</w:t>
            </w:r>
            <w:r>
              <w:t xml:space="preserve">drop everything else</w:t>
            </w:r>
            <w:r>
              <w:t xml:space="preserve">”</w:t>
            </w:r>
            <w:r>
              <w:t xml:space="preserve"> </w:t>
            </w:r>
            <w:r>
              <w:t xml:space="preserve">for this</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Balance/proportionality concern</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Discuss realistic time commitment honestly (Section 3.7)</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Respect whole-life context, not just enrolment</w:t>
            </w:r>
          </w:p>
        </w:tc>
      </w:tr>
      <w:tr>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82</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Student asks if this is</w:t>
            </w:r>
            <w:r>
              <w:t xml:space="preserve"> </w:t>
            </w:r>
            <w:r>
              <w:t xml:space="preserve">“</w:t>
            </w:r>
            <w:r>
              <w:t xml:space="preserve">just a trend</w:t>
            </w:r>
            <w:r>
              <w:t xml:space="preserve">”</w:t>
            </w:r>
            <w:r>
              <w:t xml:space="preserve"> </w:t>
            </w:r>
            <w:r>
              <w:t xml:space="preserve">that will fade</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Longevity skepticism</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Reference the trade’s decades-long history and evolution (Section 1.2, 12)</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Long-view framing</w:t>
            </w:r>
          </w:p>
        </w:tc>
      </w:tr>
      <w:tr>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83</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Working jeweller asks if the credential will annoy their existing customers who don’t care about paperwork</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Value-articulation gap</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Reframe credential as protecting the business, not just impressing customers</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Business-value framing</w:t>
            </w:r>
          </w:p>
        </w:tc>
      </w:tr>
      <w:tr>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84</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Student wants to know if you get commission on enrolments</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Transparency about incentives</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Answer honestly per actual policy; don’t dodge the question</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Radical honesty builds trust</w:t>
            </w:r>
          </w:p>
        </w:tc>
      </w:tr>
      <w:tr>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85</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Student asks what happens if IGI itself changes its curriculum after they enroll</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Change-management concern</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Explain how curriculum updates are handled for enrolled students</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Reassurance through process clarity</w:t>
            </w:r>
          </w:p>
        </w:tc>
      </w:tr>
      <w:tr>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86</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Parent asks for the</w:t>
            </w:r>
            <w:r>
              <w:t xml:space="preserve"> </w:t>
            </w:r>
            <w:r>
              <w:t xml:space="preserve">“</w:t>
            </w:r>
            <w:r>
              <w:t xml:space="preserve">success rate</w:t>
            </w:r>
            <w:r>
              <w:t xml:space="preserve">”</w:t>
            </w:r>
            <w:r>
              <w:t xml:space="preserve"> </w:t>
            </w:r>
            <w:r>
              <w:t xml:space="preserve">of the program</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Statistic-seeking without inflating numbers</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Avoid quoting unverifiable statistics; describe realistic patterns</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Never fabricate data under pressure</w:t>
            </w:r>
          </w:p>
        </w:tc>
      </w:tr>
      <w:tr>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87</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Student wants to know if they can specialize further after Graduate Gemologist</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Advanced-pathway question</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Describe legitimate next steps (e.g., Gem-A Diploma, applied specialization)</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Show the full long-term arc, not just this course</w:t>
            </w:r>
          </w:p>
        </w:tc>
      </w:tr>
      <w:tr>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88</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Entrepreneur wants to know if this replaces hiring a professional appraiser</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Scope-of-competence clarity</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Clarify what the credential does and doesn’t replace</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Honest scope-setting (Role Play 12 principle)</w:t>
            </w:r>
          </w:p>
        </w:tc>
      </w:tr>
      <w:tr>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89</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Student asks if online reviews of IGI are trustworthy</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Meta-trust question</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Encourage direct verification alongside reviews</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Model the same transparency being asked for</w:t>
            </w:r>
          </w:p>
        </w:tc>
      </w:tr>
      <w:tr>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90</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Student wants to know the demographic/age range of typical batches</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Social-fit concern</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Answer honestly with a realistic range</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Address unspoken social anxiety directly</w:t>
            </w:r>
          </w:p>
        </w:tc>
      </w:tr>
      <w:tr>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91</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Parent asks if this could be</w:t>
            </w:r>
            <w:r>
              <w:t xml:space="preserve"> </w:t>
            </w:r>
            <w:r>
              <w:t xml:space="preserve">“</w:t>
            </w:r>
            <w:r>
              <w:t xml:space="preserve">a waste of time</w:t>
            </w:r>
            <w:r>
              <w:t xml:space="preserve">”</w:t>
            </w:r>
            <w:r>
              <w:t xml:space="preserve"> </w:t>
            </w:r>
            <w:r>
              <w:t xml:space="preserve">if their child changes their mind later</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Sunk-cost anxiety upfront</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Discuss staged learning and transferable foundational skills honestly</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Reduce risk perception with real information</w:t>
            </w:r>
          </w:p>
        </w:tc>
      </w:tr>
      <w:tr>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92</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Student asks about the environmental impact of the diamond trade</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Values-driven question</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Answer factually about sourcing, traceability, and lab-grown trends (12.5, 12.10)</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Values-aligned, factual response</w:t>
            </w:r>
          </w:p>
        </w:tc>
      </w:tr>
      <w:tr>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93</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Corporate client wants proof of past successful corporate engagements</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Case-study request</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Share accurate examples; don’t fabricate specifics</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Evidence-based credibility</w:t>
            </w:r>
          </w:p>
        </w:tc>
      </w:tr>
      <w:tr>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94</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Student asks if they can specialize in a very niche stone (e.g., specific rare gem)</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Niche-interest accommodation</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Discuss how CSG builds transferable foundational skill even for niche interests</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Broad foundation supports niche specialization later</w:t>
            </w:r>
          </w:p>
        </w:tc>
      </w:tr>
      <w:tr>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95</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Student wants to know what makes a</w:t>
            </w:r>
            <w:r>
              <w:t xml:space="preserve"> </w:t>
            </w:r>
            <w:r>
              <w:t xml:space="preserve">“</w:t>
            </w:r>
            <w:r>
              <w:t xml:space="preserve">bad</w:t>
            </w:r>
            <w:r>
              <w:t xml:space="preserve">”</w:t>
            </w:r>
            <w:r>
              <w:t xml:space="preserve"> </w:t>
            </w:r>
            <w:r>
              <w:t xml:space="preserve">counsellor experience, so they can avoid choosing wrong</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Meta-transparency request</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Answer honestly using this handbook’s own standards as the benchmark</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Model the standard being described</w:t>
            </w:r>
          </w:p>
        </w:tc>
      </w:tr>
      <w:tr>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96</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Parent worried about safety of travel to a manufacturing hub city for classes</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Logistics/safety concern</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Address honestly and specifically, refer to centre-specific safety information</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Concrete reassurance, not vague dismissal</w:t>
            </w:r>
          </w:p>
        </w:tc>
      </w:tr>
      <w:tr>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97</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Student wants to know if they can transfer credits from a foreign gemology course</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Credit transfer question</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Confirm actual current equivalency/transfer policy; don’t assume</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Verify before answering (consistent with Extended FAQ #58)</w:t>
            </w:r>
          </w:p>
        </w:tc>
      </w:tr>
      <w:tr>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98</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Working professional asks if failing to complete on time affects their job standing</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Employer-relationship concern</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Discuss realistic timeline flexibility and how to communicate with their employer</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Support the whole-life context of the decision</w:t>
            </w:r>
          </w:p>
        </w:tc>
      </w:tr>
      <w:tr>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99</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Student asks whether they should learn a foreign language alongside this course for international careers</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Career-adjacent skill-building question</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Encourage it as a genuine complement, reference Section 5.14</w:t>
            </w:r>
          </w:p>
        </w:tc>
        <w:tc>
          <w:tcPr>
            <w:tcW w:w="1000" w:type="pct"/>
            <w:tcBorders>
              <w:top w:val="single" w:sz="4" w:space="0" w:color="B9A66B"/>
              <w:left w:val="single" w:sz="4" w:space="0" w:color="B9A66B"/>
              <w:bottom w:val="single" w:sz="4" w:space="0" w:color="B9A66B"/>
              <w:right w:val="single" w:sz="4" w:space="0" w:color="B9A66B"/>
            </w:tcBorders>
          </w:tcPr>
          <w:p>
            <w:pPr>
              <w:pStyle w:val="Compact"/>
              <w:jc w:val="left"/>
            </w:pPr>
            <w:r>
              <w:t xml:space="preserve">Support beyond the immediate course scope</w:t>
            </w:r>
          </w:p>
        </w:tc>
      </w:tr>
      <w:tr>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100</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Graduating student asks</w:t>
            </w:r>
            <w:r>
              <w:t xml:space="preserve"> </w:t>
            </w:r>
            <w:r>
              <w:t xml:space="preserve">“</w:t>
            </w:r>
            <w:r>
              <w:t xml:space="preserve">what should I do in my first year after this</w:t>
            </w:r>
            <w:r>
              <w:t xml:space="preserve">”</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Post-graduation direction-seeking</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Walk through the relevant Section 5 career roadmap stage-by-stage</w:t>
            </w:r>
          </w:p>
        </w:tc>
        <w:tc>
          <w:tcPr>
            <w:tcW w:w="1000" w:type="pct"/>
            <w:tcBorders>
              <w:top w:val="single" w:sz="4" w:space="0" w:color="B9A66B"/>
              <w:left w:val="single" w:sz="4" w:space="0" w:color="B9A66B"/>
              <w:bottom w:val="single" w:sz="4" w:space="0" w:color="B9A66B"/>
              <w:right w:val="single" w:sz="4" w:space="0" w:color="B9A66B"/>
            </w:tcBorders>
            <w:shd w:val="clear" w:fill="F5F1E6"/>
          </w:tcPr>
          <w:p>
            <w:pPr>
              <w:pStyle w:val="Compact"/>
              <w:jc w:val="left"/>
            </w:pPr>
            <w:r>
              <w:t xml:space="preserve">End on forward-looking, practical guidance</w:t>
            </w:r>
          </w:p>
        </w:tc>
      </w:tr>
    </w:tbl>
    <w:p>
      <w:r>
        <w:pict>
          <v:rect style="width:0;height:1.5pt" o:hralign="center" o:hrstd="t" o:hr="t"/>
        </w:pict>
      </w:r>
    </w:p>
    <w:p>
      <w:pPr>
        <w:pStyle w:val="Heading2"/>
      </w:pPr>
      <w:bookmarkStart w:id="76" w:name="practice-rotation-guide"/>
      <w:r>
        <w:t xml:space="preserve">Practice Rotation Guide</w:t>
      </w:r>
      <w:bookmarkEnd w:id="76"/>
    </w:p>
    <w:p>
      <w:pPr>
        <w:numPr>
          <w:ilvl w:val="0"/>
          <w:numId w:val="1001"/>
        </w:numPr>
        <w:pStyle w:val="Compact"/>
      </w:pPr>
      <w:r>
        <w:rPr>
          <w:b/>
        </w:rPr>
        <w:t xml:space="preserve">New counsellors (weeks 1-6):</w:t>
      </w:r>
      <w:r>
        <w:t xml:space="preserve"> </w:t>
      </w:r>
      <w:r>
        <w:t xml:space="preserve">Work through Role Plays 1-25 (Core Playbook) in order, one per session.</w:t>
      </w:r>
    </w:p>
    <w:p>
      <w:pPr>
        <w:numPr>
          <w:ilvl w:val="0"/>
          <w:numId w:val="1001"/>
        </w:numPr>
        <w:pStyle w:val="Compact"/>
      </w:pPr>
      <w:r>
        <w:rPr>
          <w:b/>
        </w:rPr>
        <w:t xml:space="preserve">Certified counsellors (ongoing):</w:t>
      </w:r>
      <w:r>
        <w:t xml:space="preserve"> </w:t>
      </w:r>
      <w:r>
        <w:t xml:space="preserve">Rotate Role Plays 26-60 (Part 1) weekly; use 61-100 (this page) as 5-minute warm-up drills before shift start.</w:t>
      </w:r>
    </w:p>
    <w:p>
      <w:pPr>
        <w:numPr>
          <w:ilvl w:val="0"/>
          <w:numId w:val="1001"/>
        </w:numPr>
        <w:pStyle w:val="Compact"/>
      </w:pPr>
      <w:r>
        <w:rPr>
          <w:b/>
        </w:rPr>
        <w:t xml:space="preserve">Team calibration sessions:</w:t>
      </w:r>
      <w:r>
        <w:t xml:space="preserve"> </w:t>
      </w:r>
      <w:r>
        <w:t xml:space="preserve">Pick 3-4 quick drills at random and discuss as a group — this surfaces inconsistent answers across counsellors before they reach real students.</w:t>
      </w:r>
    </w:p>
    <w:p>
      <w:pPr>
        <w:pStyle w:val="FirstParagraph"/>
      </w:pPr>
      <w:r>
        <w:rPr>
          <w:i/>
        </w:rPr>
        <w:t xml:space="preserve">End of Extended Role-Play Bank (100 scenarios).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after="160" w:line="276" w:lineRule="auto"/>
    </w:pPr>
    <w:rPr>
      <w:rFonts w:ascii="Calibri" w:hAnsi="Calibri" w:eastAsia="Calibri" w:cs="Calibri"/>
      <w:color w:val="333333"/>
      <w:sz w:val="22"/>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80"/>
      <w:jc w:val="center"/>
    </w:pPr>
    <w:rPr>
      <w:rFonts w:asciiTheme="majorHAnsi" w:eastAsiaTheme="majorEastAsia" w:hAnsiTheme="majorHAnsi" w:cstheme="majorBidi" w:ascii="Cambria" w:hAnsi="Cambria" w:eastAsia="Cambria" w:cs="Cambria"/>
      <w:b/>
      <w:bCs/>
      <w:color w:val="142A4D"/>
      <w:sz w:val="60"/>
      <w:szCs w:val="36"/>
    </w:rPr>
  </w:style>
  <w:style w:type="paragraph" w:styleId="Subtitle">
    <w:name w:val="Subtitle"/>
    <w:basedOn w:val="Title"/>
    <w:next w:val="BodyText"/>
    <w:qFormat/>
    <w:pPr>
      <w:keepNext/>
      <w:keepLines/>
      <w:spacing w:before="240" w:after="240"/>
      <w:jc w:val="center"/>
    </w:pPr>
    <w:rPr>
      <w:rFonts w:ascii="Cambria" w:hAnsi="Cambria" w:eastAsia="Cambria" w:cs="Cambria"/>
      <w:i/>
      <w:color w:val="9A772F"/>
      <w:sz w:val="32"/>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pageBreakBefore/>
      <w:spacing w:before="480" w:after="200"/>
      <w:outlineLvl w:val="0"/>
    </w:pPr>
    <w:rPr>
      <w:rFonts w:asciiTheme="majorHAnsi" w:eastAsiaTheme="majorEastAsia" w:hAnsiTheme="majorHAnsi" w:cstheme="majorBidi" w:ascii="Cambria" w:hAnsi="Cambria" w:eastAsia="Cambria" w:cs="Cambria"/>
      <w:b/>
      <w:bCs/>
      <w:color w:val="142A4D"/>
      <w:sz w:val="40"/>
      <w:szCs w:val="32"/>
    </w:rPr>
  </w:style>
  <w:style w:type="paragraph" w:styleId="Heading2">
    <w:name w:val="Heading 2"/>
    <w:basedOn w:val="Normal"/>
    <w:next w:val="BodyText"/>
    <w:uiPriority w:val="9"/>
    <w:unhideWhenUsed/>
    <w:qFormat/>
    <w:pPr>
      <w:keepNext/>
      <w:keepLines/>
      <w:spacing w:before="320" w:after="160"/>
      <w:outlineLvl w:val="1"/>
    </w:pPr>
    <w:rPr>
      <w:rFonts w:asciiTheme="majorHAnsi" w:eastAsiaTheme="majorEastAsia" w:hAnsiTheme="majorHAnsi" w:cstheme="majorBidi" w:ascii="Cambria" w:hAnsi="Cambria" w:eastAsia="Cambria" w:cs="Cambria"/>
      <w:b/>
      <w:bCs/>
      <w:color w:val="142A4D"/>
      <w:sz w:val="30"/>
      <w:szCs w:val="28"/>
    </w:rPr>
  </w:style>
  <w:style w:type="paragraph" w:styleId="Heading3">
    <w:name w:val="Heading 3"/>
    <w:basedOn w:val="Normal"/>
    <w:next w:val="BodyText"/>
    <w:uiPriority w:val="9"/>
    <w:unhideWhenUsed/>
    <w:qFormat/>
    <w:pPr>
      <w:keepNext/>
      <w:keepLines/>
      <w:spacing w:before="240" w:after="120"/>
      <w:outlineLvl w:val="2"/>
    </w:pPr>
    <w:rPr>
      <w:rFonts w:asciiTheme="majorHAnsi" w:eastAsiaTheme="majorEastAsia" w:hAnsiTheme="majorHAnsi" w:cstheme="majorBidi" w:ascii="Cambria" w:hAnsi="Cambria" w:eastAsia="Cambria" w:cs="Cambria"/>
      <w:b/>
      <w:bCs/>
      <w:color w:val="9A772F"/>
      <w:sz w:val="25"/>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60" w:after="160"/>
      <w:ind w:firstLine="0" w:left="283" w:right="283"/>
      <w:shd w:val="clear" w:fill="F2EEE3"/>
      <w:pBdr>
        <w:top w:val="single" w:sz="8" w:space="4" w:color="9A772F"/>
        <w:left w:val="single" w:sz="8" w:space="4" w:color="9A772F"/>
        <w:bottom w:val="single" w:sz="8" w:space="4" w:color="9A772F"/>
        <w:right w:val="single" w:sz="8" w:space="4" w:color="9A772F"/>
      </w:pBdr>
    </w:pPr>
    <w:rPr>
      <w:rFonts w:ascii="Calibri" w:hAnsi="Calibri" w:eastAsia="Calibri" w:cs="Calibri"/>
      <w:i/>
      <w:color w:val="142A4D"/>
      <w:sz w:val="21"/>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pPr>
      <w:spacing w:before="40" w:after="40" w:line="240" w:lineRule="auto"/>
      <w:shd w:val="clear" w:fill="F7F7F2"/>
    </w:pPr>
    <w:rPr>
      <w:rFonts w:ascii="Consolas" w:hAnsi="Consolas" w:eastAsia="Consolas" w:cs="Consolas"/>
      <w:color w:val="142A4D"/>
      <w:sz w:val="19"/>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2026-07-14T08:54:20Z</dcterms:created>
  <dcterms:modified xsi:type="dcterms:W3CDTF">2026-07-14T08:54:20Z</dcterms:modified>
</cp:coreProperties>
</file>

<file path=docProps/custom.xml><?xml version="1.0" encoding="utf-8"?>
<Properties xmlns="http://schemas.openxmlformats.org/officeDocument/2006/custom-properties" xmlns:vt="http://schemas.openxmlformats.org/officeDocument/2006/docPropsVTypes"/>
</file>