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ument-f-very-short-version"/>
    <w:p>
      <w:pPr>
        <w:pStyle w:val="Heading1"/>
      </w:pPr>
      <w:r>
        <w:t xml:space="preserve">Document F (Very Short Version)</w:t>
      </w:r>
    </w:p>
    <w:bookmarkEnd w:id="9"/>
    <w:bookmarkStart w:id="29" w:name="X3d135954fad59a4e8db1841af961884dd51e217"/>
    <w:p>
      <w:pPr>
        <w:pStyle w:val="Heading1"/>
      </w:pPr>
      <w:r>
        <w:t xml:space="preserve">Full-Scale SKANN-SSL System: Diagnostics, Export, Deployment, Deliverables</w:t>
      </w:r>
    </w:p>
    <w:bookmarkStart w:id="1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Document F provides a concise summary of the diagnostics, deployment workflow, dataset strategy,</w:t>
      </w:r>
      <w:r>
        <w:t xml:space="preserve"> </w:t>
      </w:r>
      <w:r>
        <w:t xml:space="preserve">and deliverables for the full-scale SKANN-SSL system. It complements Documents A–E.</w:t>
      </w:r>
    </w:p>
    <w:p>
      <w:pPr>
        <w:pStyle w:val="BodyText"/>
      </w:pPr>
      <w:r>
        <w:t xml:space="preserve">The objectives are:</w:t>
      </w:r>
    </w:p>
    <w:p>
      <w:pPr>
        <w:numPr>
          <w:ilvl w:val="0"/>
          <w:numId w:val="1001"/>
        </w:numPr>
      </w:pPr>
      <w:r>
        <w:t xml:space="preserve">Define evaluation criteria for learned acoustic embeddings.</w:t>
      </w:r>
    </w:p>
    <w:p>
      <w:pPr>
        <w:numPr>
          <w:ilvl w:val="0"/>
          <w:numId w:val="1001"/>
        </w:numPr>
      </w:pPr>
      <w:r>
        <w:t xml:space="preserve">Specify model export and deployment requirements.</w:t>
      </w:r>
    </w:p>
    <w:p>
      <w:pPr>
        <w:numPr>
          <w:ilvl w:val="0"/>
          <w:numId w:val="1001"/>
        </w:numPr>
      </w:pPr>
      <w:r>
        <w:t xml:space="preserve">Describe dataset integration for large-scale self-supervised learning.</w:t>
      </w:r>
    </w:p>
    <w:p>
      <w:pPr>
        <w:numPr>
          <w:ilvl w:val="0"/>
          <w:numId w:val="1001"/>
        </w:numPr>
      </w:pPr>
      <w:r>
        <w:t xml:space="preserve">List the final deliverables for the SKANN project.</w:t>
      </w:r>
    </w:p>
    <w:p>
      <w:pPr>
        <w:numPr>
          <w:ilvl w:val="0"/>
          <w:numId w:val="1001"/>
        </w:numPr>
      </w:pPr>
      <w:r>
        <w:t xml:space="preserve">Explain how Mini-SKANN transitions into the full SKANN system.</w:t>
      </w:r>
    </w:p>
    <w:bookmarkEnd w:id="10"/>
    <w:bookmarkStart w:id="14" w:name="diagnostics-suite"/>
    <w:p>
      <w:pPr>
        <w:pStyle w:val="Heading2"/>
      </w:pPr>
      <w:r>
        <w:t xml:space="preserve">2. Diagnostics Suite</w:t>
      </w:r>
    </w:p>
    <w:bookmarkStart w:id="11" w:name="embedding-quality-diagnostics"/>
    <w:p>
      <w:pPr>
        <w:pStyle w:val="Heading3"/>
      </w:pPr>
      <w:r>
        <w:t xml:space="preserve">2.1 Embedding Quality Diagnostics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Redundancy Index</w:t>
      </w:r>
      <w:r>
        <w:t xml:space="preserve">: Measures the magnitude of off-diagonal elements of</w:t>
      </w:r>
      <w:r>
        <w:t xml:space="preserve"> </w:t>
      </w:r>
      <w:r>
        <w:t xml:space="preserve">the cross-correlation matrix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used in Barlow Twins self-supervised learning.</w:t>
      </w:r>
      <w:r>
        <w:t xml:space="preserve"> </w:t>
      </w:r>
      <w:r>
        <w:t xml:space="preserve">Lower values indicate better decorrelation.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Dimensional Utilisation Score</w:t>
      </w:r>
      <w:r>
        <w:t xml:space="preserve">: Fraction of embedding dimensions whose</w:t>
      </w:r>
      <w:r>
        <w:t xml:space="preserve"> </w:t>
      </w:r>
      <w:r>
        <w:t xml:space="preserve">variance exceeds a threshold, indicating whether the embedding space is well-used.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Temporal Stability</w:t>
      </w:r>
      <w:r>
        <w:t xml:space="preserve">: Cosine similarity between embeddings of overlapping</w:t>
      </w:r>
      <w:r>
        <w:t xml:space="preserve"> </w:t>
      </w:r>
      <w:r>
        <w:t xml:space="preserve">waveform segments to ensure consistent encoding.</w:t>
      </w:r>
    </w:p>
    <w:bookmarkEnd w:id="11"/>
    <w:bookmarkStart w:id="12" w:name="robustness-diagnostics"/>
    <w:p>
      <w:pPr>
        <w:pStyle w:val="Heading3"/>
      </w:pPr>
      <w:r>
        <w:t xml:space="preserve">2.2 Robustness Diagnostics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Augmentation Stress Test</w:t>
      </w:r>
      <w:r>
        <w:t xml:space="preserve">: Evaluates the invariance of embeddings under</w:t>
      </w:r>
      <w:r>
        <w:t xml:space="preserve"> </w:t>
      </w:r>
      <w:r>
        <w:t xml:space="preserve">time shifts, gain jitter, masking, and band dropout, the same perturbations used in</w:t>
      </w:r>
      <w:r>
        <w:t xml:space="preserve"> </w:t>
      </w:r>
      <w:r>
        <w:t xml:space="preserve">Barlow Twins SSL training.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SNR Robustness Sweep</w:t>
      </w:r>
      <w:r>
        <w:t xml:space="preserve">: Tests embedding performance across SNR values from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dB to</w:t>
      </w:r>
      <w:r>
        <w:t xml:space="preserve"> </w:t>
      </w:r>
      <m:oMath>
        <m:r>
          <m:rPr>
            <m:sty m:val="p"/>
          </m:rPr>
          <m:t>+</m:t>
        </m:r>
        <m:r>
          <m:t>20</m:t>
        </m:r>
      </m:oMath>
      <w:r>
        <w:t xml:space="preserve"> </w:t>
      </w:r>
      <w:r>
        <w:t xml:space="preserve">dB.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Propagation and Doppler Variation</w:t>
      </w:r>
      <w:r>
        <w:t xml:space="preserve">: Applies simple propagation filters or</w:t>
      </w:r>
      <w:r>
        <w:t xml:space="preserve"> </w:t>
      </w:r>
      <w:r>
        <w:t xml:space="preserve">Doppler stretch/compression to verify encoder robustness to underwater channel effects.</w:t>
      </w:r>
    </w:p>
    <w:bookmarkEnd w:id="12"/>
    <w:bookmarkStart w:id="13" w:name="clustering-diagnostics"/>
    <w:p>
      <w:pPr>
        <w:pStyle w:val="Heading3"/>
      </w:pPr>
      <w:r>
        <w:t xml:space="preserve">2.3 Clustering Diagnostics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Cluster Persistence</w:t>
      </w:r>
      <w:r>
        <w:t xml:space="preserve">: Checks the stability of HDBSCAN cluster labels across runs.</w:t>
      </w:r>
      <w:r>
        <w:t xml:space="preserve"> </w:t>
      </w:r>
      <w:r>
        <w:t xml:space="preserve">HDBSCAN is a density-based clustering method that does not require a pre-selected cluster count.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Cluster Separability</w:t>
      </w:r>
      <w:r>
        <w:t xml:space="preserve">: Uses silhouette scores and distance ratios to evaluate</w:t>
      </w:r>
      <w:r>
        <w:t xml:space="preserve"> </w:t>
      </w:r>
      <w:r>
        <w:t xml:space="preserve">cluster quality.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Cluster Signature Extraction</w:t>
      </w:r>
      <w:r>
        <w:t xml:space="preserve">: Computes the average embedding, waveform, and spectrum</w:t>
      </w:r>
      <w:r>
        <w:t xml:space="preserve"> </w:t>
      </w:r>
      <w:r>
        <w:t xml:space="preserve">for each cluster to support interpretation.</w:t>
      </w:r>
    </w:p>
    <w:bookmarkEnd w:id="13"/>
    <w:bookmarkEnd w:id="14"/>
    <w:bookmarkStart w:id="18" w:name="export-and-deployment-plan"/>
    <w:p>
      <w:pPr>
        <w:pStyle w:val="Heading2"/>
      </w:pPr>
      <w:r>
        <w:t xml:space="preserve">3. Export and Deployment Plan</w:t>
      </w:r>
    </w:p>
    <w:bookmarkStart w:id="15" w:name="onnx-export"/>
    <w:p>
      <w:pPr>
        <w:pStyle w:val="Heading3"/>
      </w:pPr>
      <w:r>
        <w:t xml:space="preserve">3.1 ONNX Export</w:t>
      </w:r>
    </w:p>
    <w:p>
      <w:pPr>
        <w:pStyle w:val="FirstParagraph"/>
      </w:pPr>
      <w:r>
        <w:t xml:space="preserve">The encoder must export cleanly to ONNX (Open Neural Network Exchange), a portable format</w:t>
      </w:r>
      <w:r>
        <w:t xml:space="preserve"> </w:t>
      </w:r>
      <w:r>
        <w:t xml:space="preserve">that enables inference on CPUs, GPUs, and embedded devices.</w:t>
      </w:r>
    </w:p>
    <w:p>
      <w:pPr>
        <w:pStyle w:val="BodyText"/>
      </w:pPr>
      <w:r>
        <w:t xml:space="preserve">Modules to export:</w:t>
      </w:r>
    </w:p>
    <w:p>
      <w:pPr>
        <w:numPr>
          <w:ilvl w:val="0"/>
          <w:numId w:val="1005"/>
        </w:numPr>
      </w:pPr>
      <w:r>
        <w:t xml:space="preserve">SKConv1D front-end (Selective Kernel 1D Convolution: a multi-kernel convolution block</w:t>
      </w:r>
      <w:r>
        <w:t xml:space="preserve"> </w:t>
      </w:r>
      <w:r>
        <w:t xml:space="preserve">that adaptively fuses features using attention-like weights)</w:t>
      </w:r>
    </w:p>
    <w:p>
      <w:pPr>
        <w:numPr>
          <w:ilvl w:val="0"/>
          <w:numId w:val="1005"/>
        </w:numPr>
      </w:pPr>
      <w:r>
        <w:t xml:space="preserve">1D SKA backbone</w:t>
      </w:r>
    </w:p>
    <w:p>
      <w:pPr>
        <w:numPr>
          <w:ilvl w:val="0"/>
          <w:numId w:val="1005"/>
        </w:numPr>
      </w:pPr>
      <w:r>
        <w:t xml:space="preserve">SKConv2D backbone (Selective Kernel 2D Convolution, used after reshaping the features</w:t>
      </w:r>
      <w:r>
        <w:t xml:space="preserve"> </w:t>
      </w:r>
      <w:r>
        <w:t xml:space="preserve">into a time–frequency-like representation)</w:t>
      </w:r>
    </w:p>
    <w:p>
      <w:pPr>
        <w:numPr>
          <w:ilvl w:val="0"/>
          <w:numId w:val="1005"/>
        </w:numPr>
      </w:pPr>
      <w:r>
        <w:t xml:space="preserve">Hybrid encoder fusion layer</w:t>
      </w:r>
    </w:p>
    <w:p>
      <w:pPr>
        <w:numPr>
          <w:ilvl w:val="0"/>
          <w:numId w:val="1005"/>
        </w:numPr>
      </w:pPr>
      <w:r>
        <w:t xml:space="preserve">Projection head removed for inference</w:t>
      </w:r>
    </w:p>
    <w:p>
      <w:pPr>
        <w:numPr>
          <w:ilvl w:val="0"/>
          <w:numId w:val="1005"/>
        </w:numPr>
      </w:pPr>
      <w:r>
        <w:t xml:space="preserve">Input: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16000</m:t>
        </m:r>
        <m:r>
          <m:rPr>
            <m:sty m:val="p"/>
          </m:rPr>
          <m:t>]</m:t>
        </m:r>
      </m:oMath>
      <w:r>
        <w:t xml:space="preserve">, Output embedding: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</w:p>
    <w:bookmarkEnd w:id="15"/>
    <w:bookmarkStart w:id="16" w:name="deployment-targets"/>
    <w:p>
      <w:pPr>
        <w:pStyle w:val="Heading3"/>
      </w:pPr>
      <w:r>
        <w:t xml:space="preserve">3.2 Deployment Targets</w:t>
      </w:r>
    </w:p>
    <w:p>
      <w:pPr>
        <w:numPr>
          <w:ilvl w:val="0"/>
          <w:numId w:val="1006"/>
        </w:numPr>
      </w:pPr>
      <w:r>
        <w:t xml:space="preserve">ARM Cortex-A processors</w:t>
      </w:r>
    </w:p>
    <w:p>
      <w:pPr>
        <w:numPr>
          <w:ilvl w:val="0"/>
          <w:numId w:val="1006"/>
        </w:numPr>
      </w:pPr>
      <w:r>
        <w:t xml:space="preserve">DSP architectures</w:t>
      </w:r>
    </w:p>
    <w:p>
      <w:pPr>
        <w:numPr>
          <w:ilvl w:val="0"/>
          <w:numId w:val="1006"/>
        </w:numPr>
      </w:pPr>
      <w:r>
        <w:t xml:space="preserve">Edge GPUs (e.g., NVIDIA Jetson Nano or Orin)</w:t>
      </w:r>
    </w:p>
    <w:p>
      <w:pPr>
        <w:numPr>
          <w:ilvl w:val="0"/>
          <w:numId w:val="1006"/>
        </w:numPr>
      </w:pPr>
      <w:r>
        <w:t xml:space="preserve">Shore-side compute nodes</w:t>
      </w:r>
    </w:p>
    <w:bookmarkEnd w:id="16"/>
    <w:bookmarkStart w:id="17" w:name="inference-optimisation"/>
    <w:p>
      <w:pPr>
        <w:pStyle w:val="Heading3"/>
      </w:pPr>
      <w:r>
        <w:t xml:space="preserve">3.3 Inference Optimisation</w:t>
      </w:r>
    </w:p>
    <w:p>
      <w:pPr>
        <w:numPr>
          <w:ilvl w:val="0"/>
          <w:numId w:val="1007"/>
        </w:numPr>
      </w:pPr>
      <w:r>
        <w:t xml:space="preserve">Optional 8-bit quantisation</w:t>
      </w:r>
    </w:p>
    <w:p>
      <w:pPr>
        <w:numPr>
          <w:ilvl w:val="0"/>
          <w:numId w:val="1007"/>
        </w:numPr>
      </w:pPr>
      <w:r>
        <w:t xml:space="preserve">Fusing convolution–normalisation–activation</w:t>
      </w:r>
    </w:p>
    <w:p>
      <w:pPr>
        <w:numPr>
          <w:ilvl w:val="0"/>
          <w:numId w:val="1007"/>
        </w:numPr>
      </w:pPr>
      <w:r>
        <w:t xml:space="preserve">Use of TensorRT (NVIDIA’s high-performance inference optimiser)</w:t>
      </w:r>
      <w:r>
        <w:t xml:space="preserve"> </w:t>
      </w:r>
      <w:r>
        <w:t xml:space="preserve">for accelerated deployment on Jetson-class devices</w:t>
      </w:r>
    </w:p>
    <w:bookmarkEnd w:id="17"/>
    <w:bookmarkEnd w:id="18"/>
    <w:bookmarkStart w:id="22" w:name="dataset-integration"/>
    <w:p>
      <w:pPr>
        <w:pStyle w:val="Heading2"/>
      </w:pPr>
      <w:r>
        <w:t xml:space="preserve">4. Dataset Integration</w:t>
      </w:r>
    </w:p>
    <w:bookmarkStart w:id="19" w:name="two-phase-ssl-strategy"/>
    <w:p>
      <w:pPr>
        <w:pStyle w:val="Heading3"/>
      </w:pPr>
      <w:r>
        <w:t xml:space="preserve">4.1 Two-Phase SSL Strategy</w:t>
      </w:r>
    </w:p>
    <w:p>
      <w:pPr>
        <w:pStyle w:val="FirstParagraph"/>
      </w:pPr>
      <w:r>
        <w:rPr>
          <w:b/>
          <w:bCs/>
        </w:rPr>
        <w:t xml:space="preserve">Phase 1: Synthetic Pretraining</w:t>
      </w:r>
      <w:r>
        <w:t xml:space="preserve"> </w:t>
      </w:r>
      <w:r>
        <w:t xml:space="preserve">Uses physics-inspired vessel signatures, broadband propulsion noise, cavitation bursts,</w:t>
      </w:r>
      <w:r>
        <w:t xml:space="preserve"> </w:t>
      </w:r>
      <w:r>
        <w:t xml:space="preserve">and Doppler modifications to initialise the encoder.</w:t>
      </w:r>
    </w:p>
    <w:p>
      <w:pPr>
        <w:pStyle w:val="BodyText"/>
      </w:pPr>
      <w:r>
        <w:rPr>
          <w:b/>
          <w:bCs/>
        </w:rPr>
        <w:t xml:space="preserve">Phase 2: Real-World SSL</w:t>
      </w:r>
    </w:p>
    <w:p>
      <w:pPr>
        <w:pStyle w:val="BodyText"/>
      </w:pPr>
      <w:r>
        <w:t xml:space="preserve">Datasets include: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NOAA</w:t>
      </w:r>
      <w:r>
        <w:t xml:space="preserve">: US National Oceanic and Atmospheric Administration’s passive acoustic archives.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MBARI</w:t>
      </w:r>
      <w:r>
        <w:t xml:space="preserve">: Monterey Bay Aquarium Research Institute hydrophone data.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JAMSTEC</w:t>
      </w:r>
      <w:r>
        <w:t xml:space="preserve">: Japan Agency for Marine-Earth Science and Technology observatory recordings.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DCLDE</w:t>
      </w:r>
      <w:r>
        <w:t xml:space="preserve">: Detection, Classification, Localisation, and Density Estimation Workshop datasets.</w:t>
      </w:r>
    </w:p>
    <w:bookmarkEnd w:id="19"/>
    <w:bookmarkStart w:id="20" w:name="standardisation-requirements"/>
    <w:p>
      <w:pPr>
        <w:pStyle w:val="Heading3"/>
      </w:pPr>
      <w:r>
        <w:t xml:space="preserve">4.2 Standardisation Requirements</w:t>
      </w:r>
    </w:p>
    <w:p>
      <w:pPr>
        <w:numPr>
          <w:ilvl w:val="0"/>
          <w:numId w:val="1009"/>
        </w:numPr>
      </w:pPr>
      <w:r>
        <w:t xml:space="preserve">Sampling rate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16000</m:t>
        </m:r>
      </m:oMath>
      <w:r>
        <w:t xml:space="preserve"> </w:t>
      </w:r>
      <w:r>
        <w:t xml:space="preserve">Hz</w:t>
      </w:r>
    </w:p>
    <w:p>
      <w:pPr>
        <w:numPr>
          <w:ilvl w:val="0"/>
          <w:numId w:val="1009"/>
        </w:numPr>
      </w:pPr>
      <w:r>
        <w:t xml:space="preserve">Clip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16000</m:t>
        </m:r>
      </m:oMath>
      <w:r>
        <w:t xml:space="preserve"> </w:t>
      </w:r>
      <w:r>
        <w:t xml:space="preserve">samples</w:t>
      </w:r>
    </w:p>
    <w:p>
      <w:pPr>
        <w:numPr>
          <w:ilvl w:val="0"/>
          <w:numId w:val="1009"/>
        </w:numPr>
      </w:pPr>
      <w:r>
        <w:t xml:space="preserve">RMS normalisation</w:t>
      </w:r>
    </w:p>
    <w:p>
      <w:pPr>
        <w:numPr>
          <w:ilvl w:val="0"/>
          <w:numId w:val="1009"/>
        </w:numPr>
      </w:pPr>
      <w:r>
        <w:t xml:space="preserve">Metadata fields: source, timestamp, depth, SNR tag</w:t>
      </w:r>
    </w:p>
    <w:bookmarkEnd w:id="20"/>
    <w:bookmarkStart w:id="21" w:name="dataset-expansion"/>
    <w:p>
      <w:pPr>
        <w:pStyle w:val="Heading3"/>
      </w:pPr>
      <w:r>
        <w:t xml:space="preserve">4.3 Dataset Expansion</w:t>
      </w:r>
    </w:p>
    <w:p>
      <w:pPr>
        <w:numPr>
          <w:ilvl w:val="0"/>
          <w:numId w:val="1010"/>
        </w:numPr>
      </w:pPr>
      <w:r>
        <w:t xml:space="preserve">Multichannel HAVS acoustic vector-sensor arrays</w:t>
      </w:r>
    </w:p>
    <w:p>
      <w:pPr>
        <w:numPr>
          <w:ilvl w:val="0"/>
          <w:numId w:val="1010"/>
        </w:numPr>
      </w:pPr>
      <w:r>
        <w:t xml:space="preserve">Long-term seabed monitoring stations</w:t>
      </w:r>
    </w:p>
    <w:p>
      <w:pPr>
        <w:numPr>
          <w:ilvl w:val="0"/>
          <w:numId w:val="1010"/>
        </w:numPr>
      </w:pPr>
      <w:r>
        <w:t xml:space="preserve">Fleet-noise signature archives for unsupervised vessel characterisation</w:t>
      </w:r>
    </w:p>
    <w:bookmarkEnd w:id="21"/>
    <w:bookmarkEnd w:id="22"/>
    <w:bookmarkStart w:id="26" w:name="deliverables"/>
    <w:p>
      <w:pPr>
        <w:pStyle w:val="Heading2"/>
      </w:pPr>
      <w:r>
        <w:t xml:space="preserve">5. Deliverables</w:t>
      </w:r>
    </w:p>
    <w:bookmarkStart w:id="23" w:name="code-and-model-deliverables"/>
    <w:p>
      <w:pPr>
        <w:pStyle w:val="Heading3"/>
      </w:pPr>
      <w:r>
        <w:t xml:space="preserve">5.1 Code and Model Deliverables</w:t>
      </w:r>
    </w:p>
    <w:p>
      <w:pPr>
        <w:numPr>
          <w:ilvl w:val="0"/>
          <w:numId w:val="1011"/>
        </w:numPr>
      </w:pPr>
      <w:r>
        <w:t xml:space="preserve">Implementation of Stages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7</m:t>
        </m:r>
      </m:oMath>
    </w:p>
    <w:p>
      <w:pPr>
        <w:numPr>
          <w:ilvl w:val="0"/>
          <w:numId w:val="1011"/>
        </w:numPr>
      </w:pPr>
      <w:r>
        <w:t xml:space="preserve">SSL-trained encoder weights</w:t>
      </w:r>
    </w:p>
    <w:p>
      <w:pPr>
        <w:numPr>
          <w:ilvl w:val="0"/>
          <w:numId w:val="1011"/>
        </w:numPr>
      </w:pPr>
      <w:r>
        <w:t xml:space="preserve">ONNX deployment model</w:t>
      </w:r>
    </w:p>
    <w:p>
      <w:pPr>
        <w:numPr>
          <w:ilvl w:val="0"/>
          <w:numId w:val="1011"/>
        </w:numPr>
      </w:pPr>
      <w:r>
        <w:t xml:space="preserve">Normalisation parameters</w:t>
      </w:r>
    </w:p>
    <w:p>
      <w:pPr>
        <w:numPr>
          <w:ilvl w:val="0"/>
          <w:numId w:val="1011"/>
        </w:numPr>
      </w:pPr>
      <w:r>
        <w:t xml:space="preserve">Augmentation configuration files</w:t>
      </w:r>
    </w:p>
    <w:bookmarkEnd w:id="23"/>
    <w:bookmarkStart w:id="24" w:name="documentation-deliverables"/>
    <w:p>
      <w:pPr>
        <w:pStyle w:val="Heading3"/>
      </w:pPr>
      <w:r>
        <w:t xml:space="preserve">5.2 Documentation Deliverables</w:t>
      </w:r>
    </w:p>
    <w:p>
      <w:pPr>
        <w:numPr>
          <w:ilvl w:val="0"/>
          <w:numId w:val="1012"/>
        </w:numPr>
      </w:pPr>
      <w:r>
        <w:t xml:space="preserve">Document A: Underwater Acoustics</w:t>
      </w:r>
    </w:p>
    <w:p>
      <w:pPr>
        <w:numPr>
          <w:ilvl w:val="0"/>
          <w:numId w:val="1012"/>
        </w:numPr>
      </w:pPr>
      <w:r>
        <w:t xml:space="preserve">Document B: System Overview</w:t>
      </w:r>
    </w:p>
    <w:p>
      <w:pPr>
        <w:numPr>
          <w:ilvl w:val="0"/>
          <w:numId w:val="1012"/>
        </w:numPr>
      </w:pPr>
      <w:r>
        <w:t xml:space="preserve">Document C: DSP and Sampling Conventions</w:t>
      </w:r>
    </w:p>
    <w:p>
      <w:pPr>
        <w:numPr>
          <w:ilvl w:val="0"/>
          <w:numId w:val="1012"/>
        </w:numPr>
      </w:pPr>
      <w:r>
        <w:t xml:space="preserve">Document D: Selective Kernel Network Architecture</w:t>
      </w:r>
    </w:p>
    <w:p>
      <w:pPr>
        <w:numPr>
          <w:ilvl w:val="0"/>
          <w:numId w:val="1012"/>
        </w:numPr>
      </w:pPr>
      <w:r>
        <w:t xml:space="preserve">Document E: Encoder and SSL Pipeline</w:t>
      </w:r>
    </w:p>
    <w:p>
      <w:pPr>
        <w:numPr>
          <w:ilvl w:val="0"/>
          <w:numId w:val="1012"/>
        </w:numPr>
      </w:pPr>
      <w:r>
        <w:t xml:space="preserve">Document F: Diagnostics and Deployment (this document)</w:t>
      </w:r>
    </w:p>
    <w:bookmarkEnd w:id="24"/>
    <w:bookmarkStart w:id="25" w:name="visual-and-analytical-outputs"/>
    <w:p>
      <w:pPr>
        <w:pStyle w:val="Heading3"/>
      </w:pPr>
      <w:r>
        <w:t xml:space="preserve">5.3 Visual and Analytical Outputs</w:t>
      </w:r>
    </w:p>
    <w:p>
      <w:pPr>
        <w:pStyle w:val="FirstParagraph"/>
      </w:pPr>
      <w:r>
        <w:t xml:space="preserve">Embedding visualisation methods such as: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PCA</w:t>
      </w:r>
      <w:r>
        <w:t xml:space="preserve">: Principal Component Analysis (linear dimensionality reduction)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UMAP</w:t>
      </w:r>
      <w:r>
        <w:t xml:space="preserve">: Non-linear manifold learning for cluster visualisation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TSNE</w:t>
      </w:r>
      <w:r>
        <w:t xml:space="preserve">: Non-linear technique for revealing cluster structure</w:t>
      </w:r>
    </w:p>
    <w:p>
      <w:pPr>
        <w:pStyle w:val="FirstParagraph"/>
      </w:pPr>
      <w:r>
        <w:t xml:space="preserve">Additional outputs:</w:t>
      </w:r>
    </w:p>
    <w:p>
      <w:pPr>
        <w:numPr>
          <w:ilvl w:val="0"/>
          <w:numId w:val="1014"/>
        </w:numPr>
      </w:pPr>
      <w:r>
        <w:t xml:space="preserve">Cluster heatmaps and silhouette diagrams</w:t>
      </w:r>
    </w:p>
    <w:p>
      <w:pPr>
        <w:numPr>
          <w:ilvl w:val="0"/>
          <w:numId w:val="1014"/>
        </w:numPr>
      </w:pPr>
      <w:r>
        <w:t xml:space="preserve">Robustness plots (SNR, augmentation, Doppler)</w:t>
      </w:r>
    </w:p>
    <w:p>
      <w:pPr>
        <w:numPr>
          <w:ilvl w:val="0"/>
          <w:numId w:val="1014"/>
        </w:numPr>
      </w:pPr>
      <w:r>
        <w:t xml:space="preserve">Block diagrams for deployment architecture</w:t>
      </w:r>
    </w:p>
    <w:p>
      <w:pPr>
        <w:numPr>
          <w:ilvl w:val="0"/>
          <w:numId w:val="1014"/>
        </w:numPr>
      </w:pPr>
      <w:r>
        <w:t xml:space="preserve">ONNX export package</w:t>
      </w:r>
    </w:p>
    <w:bookmarkEnd w:id="25"/>
    <w:bookmarkEnd w:id="26"/>
    <w:bookmarkStart w:id="27" w:name="scaling-path-mini-skann-to-full-skann"/>
    <w:p>
      <w:pPr>
        <w:pStyle w:val="Heading2"/>
      </w:pPr>
      <w:r>
        <w:t xml:space="preserve">6. Scaling Path: Mini-SKANN to Full SKANN</w:t>
      </w:r>
    </w:p>
    <w:p>
      <w:pPr>
        <w:pStyle w:val="FirstParagraph"/>
      </w:pPr>
      <w:r>
        <w:t xml:space="preserve">Mini-SKANN provides:</w:t>
      </w:r>
    </w:p>
    <w:p>
      <w:pPr>
        <w:numPr>
          <w:ilvl w:val="0"/>
          <w:numId w:val="1015"/>
        </w:numPr>
      </w:pPr>
      <w:r>
        <w:t xml:space="preserve">Basic synthetic generator</w:t>
      </w:r>
    </w:p>
    <w:p>
      <w:pPr>
        <w:numPr>
          <w:ilvl w:val="0"/>
          <w:numId w:val="1015"/>
        </w:numPr>
      </w:pPr>
      <w:r>
        <w:t xml:space="preserve">Minimal SKConv1D / SKConv2D blocks</w:t>
      </w:r>
    </w:p>
    <w:p>
      <w:pPr>
        <w:numPr>
          <w:ilvl w:val="0"/>
          <w:numId w:val="1015"/>
        </w:numPr>
      </w:pPr>
      <w:r>
        <w:t xml:space="preserve">Simple Barlow Twins SSL (a redundancy-reduction SSL method)</w:t>
      </w:r>
    </w:p>
    <w:p>
      <w:pPr>
        <w:numPr>
          <w:ilvl w:val="0"/>
          <w:numId w:val="1015"/>
        </w:numPr>
      </w:pPr>
      <w:r>
        <w:t xml:space="preserve">Basic clustering</w:t>
      </w:r>
    </w:p>
    <w:p>
      <w:pPr>
        <w:pStyle w:val="FirstParagraph"/>
      </w:pPr>
      <w:r>
        <w:t xml:space="preserve">Full SKANN adds:</w:t>
      </w:r>
    </w:p>
    <w:p>
      <w:pPr>
        <w:numPr>
          <w:ilvl w:val="0"/>
          <w:numId w:val="1016"/>
        </w:numPr>
      </w:pPr>
      <w:r>
        <w:t xml:space="preserve">Advanced physics-based synthetic generator</w:t>
      </w:r>
    </w:p>
    <w:p>
      <w:pPr>
        <w:numPr>
          <w:ilvl w:val="0"/>
          <w:numId w:val="1016"/>
        </w:numPr>
      </w:pPr>
      <w:r>
        <w:t xml:space="preserve">Deeper SKA networks with dilation</w:t>
      </w:r>
    </w:p>
    <w:p>
      <w:pPr>
        <w:numPr>
          <w:ilvl w:val="0"/>
          <w:numId w:val="1016"/>
        </w:numPr>
      </w:pPr>
      <w:r>
        <w:t xml:space="preserve">Multi-layer SKConv2D hierarchy</w:t>
      </w:r>
    </w:p>
    <w:p>
      <w:pPr>
        <w:numPr>
          <w:ilvl w:val="0"/>
          <w:numId w:val="1016"/>
        </w:numPr>
      </w:pPr>
      <w:r>
        <w:t xml:space="preserve">Hybrid SSL using Barlow Twins and VICReg (Variance–Invariance–Covariance Regularisation)</w:t>
      </w:r>
    </w:p>
    <w:p>
      <w:pPr>
        <w:numPr>
          <w:ilvl w:val="0"/>
          <w:numId w:val="1016"/>
        </w:numPr>
      </w:pPr>
      <w:r>
        <w:t xml:space="preserve">Multi-sensor HAVS fusion</w:t>
      </w:r>
    </w:p>
    <w:p>
      <w:pPr>
        <w:numPr>
          <w:ilvl w:val="0"/>
          <w:numId w:val="1016"/>
        </w:numPr>
      </w:pPr>
      <w:r>
        <w:t xml:space="preserve">Deployment-grade optimisation with TensorRT/ONNX Runtime</w:t>
      </w:r>
    </w:p>
    <w:bookmarkEnd w:id="27"/>
    <w:bookmarkStart w:id="2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Document F describes the diagnostics, deployment, dataset requirements, and scaling strategy</w:t>
      </w:r>
      <w:r>
        <w:t xml:space="preserve"> </w:t>
      </w:r>
      <w:r>
        <w:t xml:space="preserve">needed to operationalise the full SKANN-SSL system.</w:t>
      </w:r>
    </w:p>
    <w:bookmarkEnd w:id="28"/>
    <w:bookmarkEnd w:id="29"/>
    <w:bookmarkStart w:id="30" w:name="appendix-a-list-of-symbols"/>
    <w:p>
      <w:pPr>
        <w:pStyle w:val="Heading1"/>
      </w:pPr>
      <w:r>
        <w:t xml:space="preserve">Appendix A: List of Symbols</w:t>
      </w:r>
    </w:p>
    <w:p>
      <w:pPr>
        <w:numPr>
          <w:ilvl w:val="0"/>
          <w:numId w:val="1017"/>
        </w:numPr>
      </w:pP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: Sampling frequency (Hz)</w:t>
      </w:r>
    </w:p>
    <w:p>
      <w:pPr>
        <w:numPr>
          <w:ilvl w:val="0"/>
          <w:numId w:val="1017"/>
        </w:numPr>
      </w:pPr>
      <m:oMath>
        <m:r>
          <m:t>N</m:t>
        </m:r>
      </m:oMath>
      <w:r>
        <w:t xml:space="preserve">: Number of samples per 1-second clip</w:t>
      </w:r>
    </w:p>
    <w:p>
      <w:pPr>
        <w:numPr>
          <w:ilvl w:val="0"/>
          <w:numId w:val="1017"/>
        </w:numPr>
      </w:pPr>
      <m:oMath>
        <m:r>
          <m:t>D</m:t>
        </m:r>
      </m:oMath>
      <w:r>
        <w:t xml:space="preserve">: Embedding dimension</w:t>
      </w:r>
    </w:p>
    <w:p>
      <w:pPr>
        <w:numPr>
          <w:ilvl w:val="0"/>
          <w:numId w:val="1017"/>
        </w:numPr>
      </w:pPr>
      <m:oMath>
        <m:r>
          <m:t>C</m:t>
        </m:r>
      </m:oMath>
      <w:r>
        <w:t xml:space="preserve">: Cross-correlation matrix used in SSL</w:t>
      </w:r>
    </w:p>
    <w:p>
      <w:pPr>
        <w:numPr>
          <w:ilvl w:val="0"/>
          <w:numId w:val="1017"/>
        </w:numPr>
      </w:pPr>
      <w:r>
        <w:t xml:space="preserve">SNR: Signal-to-noise ratio</w:t>
      </w:r>
    </w:p>
    <w:bookmarkEnd w:id="30"/>
    <w:bookmarkStart w:id="31" w:name="appendix-b-short-forms"/>
    <w:p>
      <w:pPr>
        <w:pStyle w:val="Heading1"/>
      </w:pPr>
      <w:r>
        <w:t xml:space="preserve">Appendix B: Short Forms</w:t>
      </w:r>
    </w:p>
    <w:p>
      <w:pPr>
        <w:numPr>
          <w:ilvl w:val="0"/>
          <w:numId w:val="1018"/>
        </w:numPr>
      </w:pPr>
      <w:r>
        <w:t xml:space="preserve">NOAA: National Oceanic and Atmospheric Administration</w:t>
      </w:r>
    </w:p>
    <w:p>
      <w:pPr>
        <w:numPr>
          <w:ilvl w:val="0"/>
          <w:numId w:val="1018"/>
        </w:numPr>
      </w:pPr>
      <w:r>
        <w:t xml:space="preserve">MBARI: Monterey Bay Aquarium Research Institute</w:t>
      </w:r>
    </w:p>
    <w:p>
      <w:pPr>
        <w:numPr>
          <w:ilvl w:val="0"/>
          <w:numId w:val="1018"/>
        </w:numPr>
      </w:pPr>
      <w:r>
        <w:t xml:space="preserve">JAMSTEC: Japan Agency for Marine-Earth Science and Technology</w:t>
      </w:r>
    </w:p>
    <w:p>
      <w:pPr>
        <w:numPr>
          <w:ilvl w:val="0"/>
          <w:numId w:val="1018"/>
        </w:numPr>
      </w:pPr>
      <w:r>
        <w:t xml:space="preserve">DCLDE: Detection, Classification, Localisation, Density Estimation Workshop</w:t>
      </w:r>
    </w:p>
    <w:p>
      <w:pPr>
        <w:numPr>
          <w:ilvl w:val="0"/>
          <w:numId w:val="1018"/>
        </w:numPr>
      </w:pPr>
      <w:r>
        <w:t xml:space="preserve">ONNX: Open Neural Network Exchange</w:t>
      </w:r>
    </w:p>
    <w:p>
      <w:pPr>
        <w:numPr>
          <w:ilvl w:val="0"/>
          <w:numId w:val="1018"/>
        </w:numPr>
      </w:pPr>
      <w:r>
        <w:t xml:space="preserve">PCA: Principal Component Analysis</w:t>
      </w:r>
    </w:p>
    <w:p>
      <w:pPr>
        <w:numPr>
          <w:ilvl w:val="0"/>
          <w:numId w:val="1018"/>
        </w:numPr>
      </w:pPr>
      <w:r>
        <w:t xml:space="preserve">UMAP: Uniform Manifold Approximation and Projection</w:t>
      </w:r>
    </w:p>
    <w:p>
      <w:pPr>
        <w:numPr>
          <w:ilvl w:val="0"/>
          <w:numId w:val="1018"/>
        </w:numPr>
      </w:pPr>
      <w:r>
        <w:t xml:space="preserve">TSNE: t-distributed Stochastic Neighbour Embedding</w:t>
      </w:r>
    </w:p>
    <w:p>
      <w:pPr>
        <w:numPr>
          <w:ilvl w:val="0"/>
          <w:numId w:val="1018"/>
        </w:numPr>
      </w:pPr>
      <w:r>
        <w:t xml:space="preserve">VICReg: Variance-Invariance-Covariance Regularisation</w:t>
      </w:r>
    </w:p>
    <w:p>
      <w:pPr>
        <w:numPr>
          <w:ilvl w:val="0"/>
          <w:numId w:val="1018"/>
        </w:numPr>
      </w:pPr>
      <w:r>
        <w:t xml:space="preserve">SKConv1D / SKConv2D: Selective Kernel Convolution Layers</w:t>
      </w:r>
    </w:p>
    <w:p>
      <w:pPr>
        <w:numPr>
          <w:ilvl w:val="0"/>
          <w:numId w:val="1018"/>
        </w:numPr>
      </w:pPr>
      <w:r>
        <w:t xml:space="preserve">TensorRT: NVIDIA inference optimisation runtime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2025-12-04T12:46:57Z</dcterms:created>
  <dcterms:modified xsi:type="dcterms:W3CDTF">2025-12-04T12:46:57Z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