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129" w:lineRule="auto"/>
        <w:rPr>
          <w:rFonts w:ascii="Calibri" w:cs="Calibri" w:eastAsia="Calibri" w:hAnsi="Calibri"/>
          <w:color w:val="000000"/>
          <w:sz w:val="39"/>
          <w:szCs w:val="39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9"/>
          <w:szCs w:val="39"/>
          <w:u w:val="single"/>
          <w:rtl w:val="0"/>
        </w:rPr>
        <w:t xml:space="preserve">Case Study on Donut Data Set using Linear Regression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0" w:before="129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The Donut data set was provided in an interview round and it was asked to solve the problem statement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hands on. The data set can be accessed through the following link.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60" w:lineRule="auto"/>
        <w:rPr>
          <w:rFonts w:ascii="Arial" w:cs="Arial" w:eastAsia="Arial" w:hAnsi="Arial"/>
          <w:color w:val="2b2b2b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https://s3.amazonaws.com/acadgildsite/wordpress_images/datasets/donut/train.csv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0" w:lineRule="auto"/>
        <w:rPr>
          <w:rFonts w:ascii="Arial" w:cs="Arial" w:eastAsia="Arial" w:hAnsi="Arial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60" w:lineRule="auto"/>
        <w:rPr>
          <w:sz w:val="26"/>
          <w:szCs w:val="26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2d7dd0"/>
            <w:sz w:val="24"/>
            <w:szCs w:val="24"/>
            <w:rtl w:val="0"/>
          </w:rPr>
          <w:t xml:space="preserve">https://s3.amazonaws.com/acadgildsite/wordpress_images/datasets/donut/test.csv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60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hd w:fill="ffffff" w:val="clear"/>
        <w:spacing w:after="0" w:before="129" w:lineRule="auto"/>
        <w:rPr>
          <w:rFonts w:ascii="Calibri" w:cs="Calibri" w:eastAsia="Calibri" w:hAnsi="Calibri"/>
          <w:b w:val="0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5"/>
        </w:numPr>
        <w:shd w:fill="ffffff" w:val="clear"/>
        <w:spacing w:before="153" w:line="240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Read the data and import all necessary libraries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5"/>
        </w:numPr>
        <w:spacing w:before="153" w:line="240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Check for missing values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5"/>
        </w:numPr>
        <w:spacing w:before="153" w:line="240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Handling categorical features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dummy variables of train data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the first column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 the original DataFrame and the dummy DataFrame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5 random rows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Repeat the above steps for the test data as well.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5"/>
        </w:numPr>
        <w:shd w:fill="ffffff" w:val="clear"/>
        <w:spacing w:before="153" w:line="240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Visualizing the data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the libraries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figure sizes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multiple scatter plots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plots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Check for multi-collinearity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named remove_collinear_features(x, target , threshold)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Remove collinear features in a dataframe with a correlation coefficient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greater than the threshold. Removing collinear features can help a model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to generalize and improves the interpretability of the model.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Inputs: 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     threshold: any features with correlations greater than this value are removed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Output: 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dataframe that contains only the non-highly-collinear features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y and 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correlation matrix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 through the correlation matrix and compare correlations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# Print the correlated features and the correlation value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one of each pair of correlated columns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score back in to the data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Creating baseline with null RMSE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Null RMSE is the RMSE that could be achieved by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always predicting the mean response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It is a benchmark against which you may want to measure your regression model.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function that accepts a list of features and returns testing RMSE [def get_baseline(feature_cols,target)]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NumPy array with the same shape as y_test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fill the array with the mean value of y_test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compute null RMSE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Output: The baseline guess for Donut volume is a score of 83.40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Baseline Performance on the test set for Donut volume: RMSE = 10.5856</w:t>
      </w:r>
    </w:p>
    <w:p w:rsidR="00000000" w:rsidDel="00000000" w:rsidP="00000000" w:rsidRDefault="00000000" w:rsidRPr="00000000" w14:paraId="00000033">
      <w:pPr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Fitting on entire features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function that accepts a list of features and returns testing RMSE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compare different sets of features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'Donut Density', 'Donut volume'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Donut Density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the feature names with the coefficients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Donut volume'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the feature names with the coefficients</w:t>
      </w:r>
    </w:p>
    <w:p w:rsidR="00000000" w:rsidDel="00000000" w:rsidP="00000000" w:rsidRDefault="00000000" w:rsidRPr="00000000" w14:paraId="0000003C">
      <w:pPr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and treat outliers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5"/>
        </w:numPr>
        <w:shd w:fill="ffffff" w:val="clear"/>
        <w:spacing w:before="153" w:line="240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Treat multi-collinearity</w:t>
      </w:r>
    </w:p>
    <w:p w:rsidR="00000000" w:rsidDel="00000000" w:rsidP="00000000" w:rsidRDefault="00000000" w:rsidRPr="00000000" w14:paraId="0000003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correlation matrix in Seaborn using a heatmap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    Wha</w:t>
      </w:r>
      <w:r w:rsidDel="00000000" w:rsidR="00000000" w:rsidRPr="00000000">
        <w:rPr>
          <w:b w:val="1"/>
          <w:sz w:val="32"/>
          <w:szCs w:val="32"/>
          <w:rtl w:val="0"/>
        </w:rPr>
        <w:t xml:space="preserve">t is your conclusion on this project?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3.amazonaws.com/acadgildsite/wordpress_images/datasets/donut/train.csv" TargetMode="External"/><Relationship Id="rId7" Type="http://schemas.openxmlformats.org/officeDocument/2006/relationships/hyperlink" Target="https://s3.amazonaws.com/acadgildsite/wordpress_images/datasets/donut/te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