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040C3">
      <w:pPr>
        <w:keepNext w:val="0"/>
        <w:keepLines w:val="0"/>
        <w:widowControl/>
        <w:suppressLineNumbers w:val="0"/>
        <w:ind w:left="2100" w:leftChars="0" w:firstLine="420" w:firstLineChars="0"/>
        <w:jc w:val="left"/>
      </w:pPr>
      <w:r>
        <w:rPr>
          <w:rFonts w:hint="eastAsia" w:ascii="黑体" w:hAnsi="黑体" w:eastAsia="黑体" w:cs="黑体"/>
          <w:b/>
          <w:bCs/>
          <w:color w:val="000000"/>
          <w:kern w:val="0"/>
          <w:sz w:val="28"/>
          <w:szCs w:val="28"/>
          <w:lang w:val="en-US" w:eastAsia="zh-CN" w:bidi="ar"/>
        </w:rPr>
        <w:t xml:space="preserve">B </w:t>
      </w:r>
      <w:r>
        <w:rPr>
          <w:rFonts w:hint="eastAsia" w:ascii="黑体" w:hAnsi="黑体" w:eastAsia="黑体" w:cs="黑体"/>
          <w:b/>
          <w:bCs/>
          <w:color w:val="000000"/>
          <w:kern w:val="0"/>
          <w:sz w:val="28"/>
          <w:szCs w:val="28"/>
          <w:lang w:val="en-US" w:eastAsia="zh-CN" w:bidi="ar"/>
        </w:rPr>
        <w:t>题 医药物流安</w:t>
      </w:r>
      <w:r>
        <w:rPr>
          <w:rFonts w:ascii="FandolSong-Bold-Identity-H" w:hAnsi="FandolSong-Bold-Identity-H" w:eastAsia="FandolSong-Bold-Identity-H" w:cs="FandolSong-Bold-Identity-H"/>
          <w:b/>
          <w:bCs/>
          <w:color w:val="000000"/>
          <w:kern w:val="0"/>
          <w:sz w:val="28"/>
          <w:szCs w:val="28"/>
          <w:lang w:val="en-US" w:eastAsia="zh-CN" w:bidi="ar"/>
        </w:rPr>
        <w:t xml:space="preserve">排问题 </w:t>
      </w:r>
    </w:p>
    <w:p w14:paraId="03F0D180">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医药物流公司主要负责把药品从生产者运送到销售公司及终端消费者手中，是药品 </w:t>
      </w:r>
    </w:p>
    <w:p w14:paraId="451670D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流通市场上的主力。医药物流运输批量小、频次高，且对运输工具有一定要求。2021 年底， </w:t>
      </w:r>
    </w:p>
    <w:p w14:paraId="7870CDDE">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纳入我国医药物流直报统计的企业共有 412 家，配送货值达 18393 亿元，共建有 1253 个 </w:t>
      </w:r>
    </w:p>
    <w:p w14:paraId="0A4A7AE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物流中心，仓库面积约 1261 万平方米；这些企业拥有专业运输车辆 16454 辆，其中冷 </w:t>
      </w:r>
    </w:p>
    <w:p w14:paraId="20AC70F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藏车占 17.8%。与此同时，医药卫生体制改革已进入深水区，药品拆零量激增、销售渠 </w:t>
      </w:r>
    </w:p>
    <w:p w14:paraId="7DF32421">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道不断下沉，很多企业的物流成本都处于上升状态。 </w:t>
      </w:r>
    </w:p>
    <w:p w14:paraId="6A3CB05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某医药公司在全国建有 5 个枢纽仓库，41 家省级仓库，200 余家地市级仓库，超 </w:t>
      </w:r>
    </w:p>
    <w:p w14:paraId="4754C123">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过 2000 辆自有车辆（其中 400 余辆为冷藏车），终端覆盖 100000 余家药房，10000 余 </w:t>
      </w:r>
    </w:p>
    <w:p w14:paraId="4803A3E9">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家医院。受到国家基本药物制度、招标政策以及药品降价的挑战，行业毛利率进一步压 </w:t>
      </w:r>
    </w:p>
    <w:p w14:paraId="1E4B576E">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缩。因此，公司必须运用先进的供应链管理手段，改进储运流程、库存管理、服务模式， </w:t>
      </w:r>
    </w:p>
    <w:p w14:paraId="66363EB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努力发展增值服务业务（信息化服务、采购协同等），提高服务品质，挖掘上游供应商和 </w:t>
      </w:r>
    </w:p>
    <w:p w14:paraId="0677FDF0">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下游客户的潜在需求，向服务要效益。 </w:t>
      </w:r>
    </w:p>
    <w:p w14:paraId="40C53623">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问题 1. </w:t>
      </w:r>
      <w:r>
        <w:rPr>
          <w:rFonts w:hint="eastAsia" w:ascii="黑体" w:hAnsi="黑体" w:eastAsia="黑体" w:cs="黑体"/>
          <w:color w:val="000000"/>
          <w:kern w:val="0"/>
          <w:sz w:val="21"/>
          <w:szCs w:val="21"/>
          <w:lang w:val="en-US" w:eastAsia="zh-CN" w:bidi="ar"/>
        </w:rPr>
        <w:t xml:space="preserve">当前系统只能根据客户指定的路线、在规定时间内取送货。附件 1 给出了 </w:t>
      </w:r>
    </w:p>
    <w:p w14:paraId="0941CA5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各型号车辆的运营成本和承载能力（按托盘数计算），附件 2 提供了两个多月从南通市 </w:t>
      </w:r>
    </w:p>
    <w:p w14:paraId="26B5A4C9">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崇川区某医药企业仓库出发，将一种冷链药品（共涉及 2 种规格）运送到各大医药公司 </w:t>
      </w:r>
    </w:p>
    <w:p w14:paraId="3E186C9C">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的排货信息表，请分析计算其运输总费用。 </w:t>
      </w:r>
    </w:p>
    <w:p w14:paraId="1D789BF6">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问题 2. </w:t>
      </w:r>
      <w:r>
        <w:rPr>
          <w:rFonts w:hint="eastAsia" w:ascii="黑体" w:hAnsi="黑体" w:eastAsia="黑体" w:cs="黑体"/>
          <w:color w:val="000000"/>
          <w:kern w:val="0"/>
          <w:sz w:val="21"/>
          <w:szCs w:val="21"/>
          <w:lang w:val="en-US" w:eastAsia="zh-CN" w:bidi="ar"/>
        </w:rPr>
        <w:t xml:space="preserve">公司希望通过拼车来减少运营成本，请根据以下条件给出附件 2 拼单运输和 </w:t>
      </w:r>
    </w:p>
    <w:p w14:paraId="7243D8F0">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车辆调度优化方案：车辆运输的时间不受限制，但装卸货的工作时间仅限于 9:00–17:00， </w:t>
      </w:r>
    </w:p>
    <w:p w14:paraId="7B75A9DF">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每次装卸货需要 2 小时左右。若所有订单信息可以在预计到货日期的一周前预知，请改 </w:t>
      </w:r>
    </w:p>
    <w:p w14:paraId="21A4BDD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进拼单运输和车辆调度方案。 </w:t>
      </w:r>
    </w:p>
    <w:p w14:paraId="0F30D528">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问题 3. </w:t>
      </w:r>
      <w:r>
        <w:rPr>
          <w:rFonts w:hint="eastAsia" w:ascii="黑体" w:hAnsi="黑体" w:eastAsia="黑体" w:cs="黑体"/>
          <w:color w:val="000000"/>
          <w:kern w:val="0"/>
          <w:sz w:val="21"/>
          <w:szCs w:val="21"/>
          <w:lang w:val="en-US" w:eastAsia="zh-CN" w:bidi="ar"/>
        </w:rPr>
        <w:t xml:space="preserve">附件 3 提供了该公司某一周的终端运单需求，附件 4 提供了这一周公司仓 </w:t>
      </w:r>
    </w:p>
    <w:p w14:paraId="108364A3">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库至终端的派车单数据。请评估该派车单安排的合理性，并在保证取送货时限的要求下， </w:t>
      </w:r>
    </w:p>
    <w:p w14:paraId="7D9668F6">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给出配送和车辆调度的优化方案。 </w:t>
      </w:r>
    </w:p>
    <w:p w14:paraId="052C89F5">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附件 </w:t>
      </w:r>
    </w:p>
    <w:p w14:paraId="060C5661">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下载地址: https://pan.baidu.com/s/12HTDc2-0QbIQOGSaAInQ6w（提取码：49f9） </w:t>
      </w:r>
    </w:p>
    <w:p w14:paraId="2CD8570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数据说明: </w:t>
      </w:r>
    </w:p>
    <w:p w14:paraId="5693E34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 数据已做脱敏处理，车牌、地址等数据并非完全真实的。 </w:t>
      </w:r>
    </w:p>
    <w:p w14:paraId="7E0C47B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 普通药品可用常温车或冷链车运输，其他药品均需使用冷链车运输。 </w:t>
      </w:r>
    </w:p>
    <w:p w14:paraId="52613FD6">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3. 运输时限如标记为 “送货” 则表明没有特殊需求，通常允许 3–4 天，不超过一周。</w:t>
      </w:r>
    </w:p>
    <w:p w14:paraId="5658FEE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MRoman12-Bold-Identity-H">
    <w:altName w:val="Segoe Print"/>
    <w:panose1 w:val="00000000000000000000"/>
    <w:charset w:val="00"/>
    <w:family w:val="auto"/>
    <w:pitch w:val="default"/>
    <w:sig w:usb0="00000000" w:usb1="00000000" w:usb2="00000000" w:usb3="00000000" w:csb0="00000000" w:csb1="00000000"/>
  </w:font>
  <w:font w:name="FandolSong-Bold-Identity-H">
    <w:altName w:val="Segoe Print"/>
    <w:panose1 w:val="00000000000000000000"/>
    <w:charset w:val="00"/>
    <w:family w:val="auto"/>
    <w:pitch w:val="default"/>
    <w:sig w:usb0="00000000" w:usb1="00000000" w:usb2="00000000" w:usb3="00000000" w:csb0="00000000" w:csb1="00000000"/>
  </w:font>
  <w:font w:name="FandolSong-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MRoman10-Regular-Identity-H">
    <w:altName w:val="Segoe Print"/>
    <w:panose1 w:val="00000000000000000000"/>
    <w:charset w:val="00"/>
    <w:family w:val="auto"/>
    <w:pitch w:val="default"/>
    <w:sig w:usb0="00000000" w:usb1="00000000" w:usb2="00000000" w:usb3="00000000" w:csb0="00000000" w:csb1="00000000"/>
  </w:font>
  <w:font w:name="LMRoman10-Bold-Identity-H">
    <w:altName w:val="Segoe Print"/>
    <w:panose1 w:val="00000000000000000000"/>
    <w:charset w:val="00"/>
    <w:family w:val="auto"/>
    <w:pitch w:val="default"/>
    <w:sig w:usb0="00000000" w:usb1="00000000" w:usb2="00000000" w:usb3="00000000" w:csb0="00000000" w:csb1="00000000"/>
  </w:font>
  <w:font w:name="LMMono10-Regular-Identity-H">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4D5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2026-05-04T05:37:04Z</dcterms:created>
  <dc:creator>13183</dc:creator>
  <cp:lastModifiedBy>play</cp:lastModifiedBy>
  <dcterms:modified xsi:type="dcterms:W3CDTF">2026-05-04T05:37:48Z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eyJoZGlkIjoiNDliYTgzNzNjMDMzZDQ4MDVhNGRlYTM3YTMxY2VjMWYiLCJ1c2VySWQiOiI4OTU2ODY1NDkifQ==</vt:lpwstr>
  </property>
  <property fmtid="{D5CDD505-2E9C-101B-9397-08002B2CF9AE}" pid="4" name="ICV">
    <vt:lpwstr>8694626502964507A45B1B7FCB57748E_12</vt:lpwstr>
  </property>
</Properties>
</file>