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77F393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必备技能</w:t>
      </w:r>
    </w:p>
    <w:p w14:paraId="69A18C93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编程与后端工程</w:t>
      </w:r>
    </w:p>
    <w:p w14:paraId="6CBA3960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Pytho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n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为最常见主语言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,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能编写异步服务、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API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、任务队列、自动化测试与数据处理。</w:t>
      </w:r>
    </w:p>
    <w:p w14:paraId="611052AA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至少熟悉一种服务端技术栈及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 HTTP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、数据库、缓存、消息队列、身份认证和错误处理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,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具备系统设计、代码评审、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Git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CI/CD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、容器化与基本云部署能力。</w:t>
      </w:r>
    </w:p>
    <w:p w14:paraId="36F90FB0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大模型与</w:t>
      </w: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 xml:space="preserve"> Agent </w:t>
      </w: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基础</w:t>
      </w:r>
    </w:p>
    <w:p w14:paraId="22EAB621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理解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 token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、上下文窗口、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system/developer/user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指令、结构化输出、工具调用、采样与模型版本差异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理解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 planning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routing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handoff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memory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RAG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reflection/validation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等模式及其失败方式。</w:t>
      </w:r>
    </w:p>
    <w:p w14:paraId="325AFE01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数据、检索与知识</w:t>
      </w:r>
    </w:p>
    <w:p w14:paraId="3FD21884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掌握文档解析、切分、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embedding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、检索、重排、引用、权限过滤和数据质量评估。</w:t>
      </w:r>
    </w:p>
    <w:p w14:paraId="132FA4F3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理解关系数据库、对象存储、向量检索及租户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用户隔离。</w:t>
      </w:r>
    </w:p>
    <w:p w14:paraId="346381D2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评测、安全与可靠性</w:t>
      </w:r>
    </w:p>
    <w:p w14:paraId="5457FA8D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能设计真实任务集、断言、模型评分与人工复核，理解离线评测和线上指标的差异。</w:t>
      </w:r>
    </w:p>
    <w:p w14:paraId="3C9AB39E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理解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 prompt injection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、敏感信息泄露、过度授权、错误工具调用、供应链与资源滥用等风险。掌握最小权限、审批、沙箱、超时、预算、幂等、重试、回滚、审计和事件响应。</w:t>
      </w:r>
    </w:p>
    <w:p w14:paraId="3D2A98EB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业务与协作</w:t>
      </w:r>
    </w:p>
    <w:p w14:paraId="13D74823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把模糊需求转成可验收流程和失败分类；与产品、领域专家、安全、平台和法务沟通。能写架构说明、工具契约、评测报告、上线清单与运行手册，并解释指标的业务意义。</w:t>
      </w:r>
    </w:p>
    <w:p w14:paraId="3C277B44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</w:p>
    <w:p w14:paraId="67105602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常用工具和技术</w:t>
      </w:r>
    </w:p>
    <w:p w14:paraId="40517CF0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语言：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Python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TypeScript/JavaScript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FastAPI/Flask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Node.js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REST/gRPC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Pydantic/JSON Schema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；企业后端也常与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 Java/Go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服务集成。</w:t>
      </w:r>
    </w:p>
    <w:p w14:paraId="654CC9BC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模型与</w:t>
      </w: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 xml:space="preserve"> Agent SDK</w:t>
      </w: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：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OpenAI Responses API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与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 Agents SDK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LangGraph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LlamaIndex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，以及云厂商或模型厂商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 SDK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。框架是可替换部件，核心能力仍是工具契约、状态、评测和生产可靠性。</w:t>
      </w:r>
    </w:p>
    <w:p w14:paraId="20F479EC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工具协议：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Function calling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OpenAPI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JSON Schema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Model Context Protocol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MCP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）；工具描述与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 annotation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不能替代信任校验，来自不可信服务器的注解应视为不可信。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6FC42653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检索与状态：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PostgreSQL/pgvector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Elasticsearch/OpenSearch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Redis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、对象存储、向量数据库；配合权限过滤、引用与数据生命周期管理。</w:t>
      </w:r>
    </w:p>
    <w:p w14:paraId="0AC1D66C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编排与运行时：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队列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工作流引擎、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Docker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Kubernetes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serverless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、沙箱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隔离执行环境、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Secrets/KMS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API gateway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。</w:t>
      </w:r>
    </w:p>
    <w:p w14:paraId="29531A7B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评测与可观测性：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OpenAI agent evals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trace grading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pytest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promptfoo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LangSmith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OpenTelemetry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、日志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指标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告警平台。</w:t>
      </w:r>
    </w:p>
    <w:p w14:paraId="3B6AE81D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工程协作：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GitHub/GitLab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CI/CD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issue/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实验记录、架构决策记录（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ADR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）、接口文档和变更日志。</w:t>
      </w:r>
    </w:p>
    <w:p w14:paraId="7547193B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选型原则｜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优先选择能导出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 trace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、支持结构化工具契约、便于测试和退出迁移的组件；固定模型、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SDK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与提示版本，升级前运行完整回归。开源许可证只覆盖项目代码，不自动覆盖模型权重、托管服务、第三方数据或插件。</w:t>
      </w:r>
    </w:p>
    <w:p w14:paraId="26B8F39B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</w:pPr>
    </w:p>
    <w:p w14:paraId="491E8F46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实践案例</w:t>
      </w:r>
    </w:p>
    <w:p w14:paraId="0CA460BD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案例一 OpenAI Codex：从研究能力到可靠 Agent</w:t>
      </w:r>
    </w:p>
    <w:p w14:paraId="283DC935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OpenAI 的 Applied AI Engineer, Codex Core Agent 岗位要求围绕真实编码任务和长程工作流迭代 Agent 行为，开发评测来测量性能、回归、失败模式与边缘案例，并通过提示、工具策略、上下文构造和生产失败分析改善稳健性。岗位把 solve rate、usefulness 和用户经济价值列为可衡量结果。</w:t>
      </w:r>
    </w:p>
    <w:p w14:paraId="13E85779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对应交付：真实任务集、Agent 行为/工具策略实验、失败聚类、生产反馈数据管道、端到端成功指标。</w:t>
      </w:r>
    </w:p>
    <w:p w14:paraId="60C944D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同一团队的 AI Systems Engineer 岗位进一步覆盖 Agent harness、沙箱隔离、编排、状态、评测、日志/trace、推理约束、延迟、可靠性和成本，说明高级 Agent 岗位既是应用工程也是系统工程。</w:t>
      </w:r>
    </w:p>
    <w:p w14:paraId="5CA5DB8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</w:pPr>
    </w:p>
    <w:p w14:paraId="097664D5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案例二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</w:t>
      </w:r>
      <w:bookmarkStart w:id="0" w:name="_GoBack"/>
      <w:bookmarkEnd w:id="0"/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阿里巴巴与国内招聘：平台化 Agent 核心链路</w:t>
      </w:r>
    </w:p>
    <w:p w14:paraId="5FA624F1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BOSS 直聘收录的阿里巴巴“AI Agent 开发工程师—平台工程”岗位，明确把任务规划、推理执行、工具调用、运行时稳定性，以及工具/技能体系建设列为核心职责；北京、苏州等招聘样本还出现工作流、RAG、多轮决策和日均百万级 token 稳定运行等要求。</w:t>
      </w:r>
    </w:p>
    <w:p w14:paraId="065F687F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岗位信号：国内企业已从单一聊天机器人转向可复用 Agent 平台；面试准备应覆盖执行引擎、工具治理、容量/成本、可观测性和业务集成，而不只是 Prompt。</w:t>
      </w:r>
    </w:p>
    <w:p w14:paraId="0DB467B6">
      <w:pPr>
        <w:keepNext w:val="0"/>
        <w:keepLines w:val="0"/>
        <w:widowControl/>
        <w:suppressLineNumbers w:val="0"/>
        <w:jc w:val="left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"/>
        </w:rPr>
      </w:pPr>
    </w:p>
    <w:p w14:paraId="010BE7DD">
      <w:pPr>
        <w:keepNext w:val="0"/>
        <w:keepLines w:val="0"/>
        <w:widowControl/>
        <w:suppressLineNumbers w:val="0"/>
        <w:jc w:val="left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"/>
        </w:rPr>
      </w:pPr>
    </w:p>
    <w:p w14:paraId="3B9BB090">
      <w:pPr>
        <w:keepNext w:val="0"/>
        <w:keepLines w:val="0"/>
        <w:widowControl/>
        <w:suppressLineNumbers w:val="0"/>
        <w:jc w:val="left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"/>
        </w:rPr>
      </w:pPr>
    </w:p>
    <w:p w14:paraId="450270FC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"/>
        </w:rPr>
      </w:pPr>
    </w:p>
    <w:p w14:paraId="7AA70133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</w:p>
    <w:sectPr>
      <w:pgSz w:w="12240" w:h="15840"/>
      <w:pgMar w:top="1440" w:right="1800" w:bottom="1440" w:left="1800" w:header="720" w:footer="720" w:gutter="0"/>
      <w:paperSrc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@宋体">
    <w:panose1 w:val="02010600030101010101"/>
    <w:charset w:val="86"/>
    <w:family w:val="auto"/>
    <w:pitch w:val="variable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C87DF8"/>
    <w:rsid w:val="4AC70485"/>
    <w:rsid w:val="55222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2026-08-13T12:23:56Z</dcterms:created>
  <dc:creator>19213</dc:creator>
  <cp:lastModifiedBy>周翔</cp:lastModifiedBy>
  <dcterms:modified xsi:type="dcterms:W3CDTF">2026-08-13T12:30:41Z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eyJoZGlkIjoiYzRmNzQ2OGE5YmFiNDhkZDNmNzAxMDNjODA5NjNmNDUiLCJ1c2VySWQiOiIxNzI4NzM0NTM4In0=</vt:lpwstr>
  </property>
  <property fmtid="{D5CDD505-2E9C-101B-9397-08002B2CF9AE}" pid="4" name="ICV">
    <vt:lpwstr>8B61B236C002468D92D76FC88360F6C2_12</vt:lpwstr>
  </property>
</Properties>
</file>