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工业互联网架构师（Industrial Internet Architect）核心职责与工作流程</w:t>
      </w:r>
    </w:p>
    <w:p>
      <w:pPr>
        <w:pStyle w:val="Heading1"/>
      </w:pPr>
      <w:r>
        <w:rPr>
          <w:rFonts w:ascii="Microsoft YaHei" w:hAnsi="Microsoft YaHei"/>
          <w:color w:val="2E74B5"/>
          <w:sz w:val="32"/>
        </w:rPr>
        <w:t>一、岗位中文名与英文名</w:t>
      </w:r>
    </w:p>
    <w:p>
      <w:r>
        <w:rPr>
          <w:rFonts w:ascii="Microsoft YaHei" w:hAnsi="Microsoft YaHei"/>
          <w:b w:val="0"/>
          <w:sz w:val="22"/>
        </w:rPr>
        <w:t>中文名：工业互联网架构师</w:t>
      </w:r>
    </w:p>
    <w:p>
      <w:r>
        <w:rPr>
          <w:rFonts w:ascii="Microsoft YaHei" w:hAnsi="Microsoft YaHei"/>
          <w:b w:val="0"/>
          <w:sz w:val="22"/>
        </w:rPr>
        <w:t>英文名：Industrial Internet Architect</w:t>
      </w:r>
    </w:p>
    <w:p>
      <w:pPr>
        <w:pStyle w:val="Heading1"/>
      </w:pPr>
      <w:r>
        <w:rPr>
          <w:rFonts w:ascii="Microsoft YaHei" w:hAnsi="Microsoft YaHei"/>
          <w:color w:val="2E74B5"/>
          <w:sz w:val="32"/>
        </w:rPr>
        <w:t>二、岗位简介</w:t>
      </w:r>
    </w:p>
    <w:p>
      <w:r>
        <w:rPr>
          <w:rFonts w:ascii="Microsoft YaHei" w:hAnsi="Microsoft YaHei"/>
          <w:b w:val="0"/>
          <w:sz w:val="22"/>
        </w:rPr>
        <w:t>工业互联网架构师的核心职责是站在平台顶层进行架构设计和技术治理，确保工业互联网平台在功能扩展、性能演进、安全合规等方面持续健康发展。本文件聚焦该岗位的核心职责分解与典型工作流程。</w:t>
      </w:r>
    </w:p>
    <w:p>
      <w:pPr>
        <w:pStyle w:val="Heading1"/>
      </w:pPr>
      <w:r>
        <w:rPr>
          <w:rFonts w:ascii="Microsoft YaHei" w:hAnsi="Microsoft YaHei"/>
          <w:color w:val="2E74B5"/>
          <w:sz w:val="32"/>
        </w:rPr>
        <w:t>三、核心职责详解</w:t>
      </w:r>
    </w:p>
    <w:p>
      <w:pPr>
        <w:pStyle w:val="Heading2"/>
      </w:pPr>
      <w:r>
        <w:rPr>
          <w:rFonts w:ascii="Microsoft YaHei" w:hAnsi="Microsoft YaHei"/>
          <w:color w:val="4472C4"/>
          <w:sz w:val="28"/>
        </w:rPr>
        <w:t>3.1 平台总体架构设计</w:t>
      </w:r>
    </w:p>
    <w:p>
      <w:r>
        <w:rPr>
          <w:rFonts w:ascii="Microsoft YaHei" w:hAnsi="Microsoft YaHei"/>
          <w:b w:val="0"/>
          <w:sz w:val="22"/>
        </w:rPr>
        <w:t>负责工业互联网平台的整体技术架构设计，包括：制定平台长期技术战略、架构蓝图及演进路线；搭建全球级工业互联网平台技术架构；对平台的技术投入产出负责；制定平台接入标准、数据规范、接口规约及安全基线。</w:t>
      </w:r>
    </w:p>
    <w:p>
      <w:pPr>
        <w:pStyle w:val="Heading2"/>
      </w:pPr>
      <w:r>
        <w:rPr>
          <w:rFonts w:ascii="Microsoft YaHei" w:hAnsi="Microsoft YaHei"/>
          <w:color w:val="4472C4"/>
          <w:sz w:val="28"/>
        </w:rPr>
        <w:t>3.2 技术选型与评审</w:t>
      </w:r>
    </w:p>
    <w:p>
      <w:r>
        <w:rPr>
          <w:rFonts w:ascii="Microsoft YaHei" w:hAnsi="Microsoft YaHei"/>
          <w:b w:val="0"/>
          <w:sz w:val="22"/>
        </w:rPr>
        <w:t>参与相关技术方案的选型和评审工作；评估平台版本升级、功能扩展及新模块引入，输出技术评估报告；审核各业务应用团队基于平台开发的技术方案，识别架构风险，提出改进建议；牵头制定技术规划、预研，包括演进路线、技术选型、标准制定、专利输出等。</w:t>
      </w:r>
    </w:p>
    <w:p>
      <w:pPr>
        <w:pStyle w:val="Heading2"/>
      </w:pPr>
      <w:r>
        <w:rPr>
          <w:rFonts w:ascii="Microsoft YaHei" w:hAnsi="Microsoft YaHei"/>
          <w:color w:val="4472C4"/>
          <w:sz w:val="28"/>
        </w:rPr>
        <w:t>3.3 业务场景支撑</w:t>
      </w:r>
    </w:p>
    <w:p>
      <w:r>
        <w:rPr>
          <w:rFonts w:ascii="Microsoft YaHei" w:hAnsi="Microsoft YaHei"/>
          <w:b w:val="0"/>
          <w:sz w:val="22"/>
        </w:rPr>
        <w:t>支撑智能制造、设备联网、数据中台等业务场景；制定工业大数据平台架构，支持实时监控、预测性维护、数字孪生等应用开发；开展工业互联网及企业信息化领域调研，主导咨询方案、架构方案的全流程设计，精准剖析客户业务痛点，输出契合行业特性与企业战略的数字化解决方案。</w:t>
      </w:r>
    </w:p>
    <w:p>
      <w:pPr>
        <w:pStyle w:val="Heading2"/>
      </w:pPr>
      <w:r>
        <w:rPr>
          <w:rFonts w:ascii="Microsoft YaHei" w:hAnsi="Microsoft YaHei"/>
          <w:color w:val="4472C4"/>
          <w:sz w:val="28"/>
        </w:rPr>
        <w:t>3.4 跨部门协调与产业链打造</w:t>
      </w:r>
    </w:p>
    <w:p>
      <w:r>
        <w:rPr>
          <w:rFonts w:ascii="Microsoft YaHei" w:hAnsi="Microsoft YaHei"/>
          <w:b w:val="0"/>
          <w:sz w:val="22"/>
        </w:rPr>
        <w:t>协调跨部门（研发、生产、供应链）协作，推动工业互联网技术方案落地实施；负责工业互联网领域产业链打造，构建产业链合作伙伴的引入，组织生态合作。</w:t>
      </w:r>
    </w:p>
    <w:p>
      <w:pPr>
        <w:pStyle w:val="Heading2"/>
      </w:pPr>
      <w:r>
        <w:rPr>
          <w:rFonts w:ascii="Microsoft YaHei" w:hAnsi="Microsoft YaHei"/>
          <w:color w:val="4472C4"/>
          <w:sz w:val="28"/>
        </w:rPr>
        <w:t>3.5 技术文档与治理</w:t>
      </w:r>
    </w:p>
    <w:p>
      <w:r>
        <w:rPr>
          <w:rFonts w:ascii="Microsoft YaHei" w:hAnsi="Microsoft YaHei"/>
          <w:b w:val="0"/>
          <w:sz w:val="22"/>
        </w:rPr>
        <w:t>建立平台技术文档体系，包括架构说明、能力目录、集成指南等，支撑内部业务团队快速上手；负责工业互联网平台云服务架构管控、技术评审和技术支持；负责工业互联网运营平台架构设计、工具集研究、运营指标数据集成和可视化。</w:t>
      </w:r>
    </w:p>
    <w:p>
      <w:pPr>
        <w:pStyle w:val="Heading1"/>
      </w:pPr>
      <w:r>
        <w:rPr>
          <w:rFonts w:ascii="Microsoft YaHei" w:hAnsi="Microsoft YaHei"/>
          <w:color w:val="2E74B5"/>
          <w:sz w:val="32"/>
        </w:rPr>
        <w:t>四、典型工作流程</w:t>
      </w:r>
    </w:p>
    <w:p>
      <w:pPr>
        <w:pStyle w:val="Heading2"/>
      </w:pPr>
      <w:r>
        <w:rPr>
          <w:rFonts w:ascii="Microsoft YaHei" w:hAnsi="Microsoft YaHei"/>
          <w:color w:val="4472C4"/>
          <w:sz w:val="28"/>
        </w:rPr>
        <w:t>4.1 平台架构设计流程</w:t>
      </w:r>
    </w:p>
    <w:p>
      <w:pPr>
        <w:pStyle w:val="ListNumber"/>
      </w:pPr>
      <w:r>
        <w:rPr>
          <w:rFonts w:ascii="Microsoft YaHei" w:hAnsi="Microsoft YaHei"/>
          <w:sz w:val="22"/>
        </w:rPr>
        <w:t>业务需求分析：深入了解智能制造、设备联网等业务场景需求，与业务部门沟通确定架构设计目标。</w:t>
      </w:r>
    </w:p>
    <w:p>
      <w:pPr>
        <w:pStyle w:val="ListNumber"/>
      </w:pPr>
      <w:r>
        <w:rPr>
          <w:rFonts w:ascii="Microsoft YaHei" w:hAnsi="Microsoft YaHei"/>
          <w:sz w:val="22"/>
        </w:rPr>
        <w:t>技术调研与选型：调研工业互联网领域最新技术趋势，评估技术方案的可行性和适用性，完成技术选型。</w:t>
      </w:r>
    </w:p>
    <w:p>
      <w:pPr>
        <w:pStyle w:val="ListNumber"/>
      </w:pPr>
      <w:r>
        <w:rPr>
          <w:rFonts w:ascii="Microsoft YaHei" w:hAnsi="Microsoft YaHei"/>
          <w:sz w:val="22"/>
        </w:rPr>
        <w:t>架构蓝图设计：制定平台长期技术战略、架构蓝图及演进路线，输出架构设计文档。</w:t>
      </w:r>
    </w:p>
    <w:p>
      <w:pPr>
        <w:pStyle w:val="ListNumber"/>
      </w:pPr>
      <w:r>
        <w:rPr>
          <w:rFonts w:ascii="Microsoft YaHei" w:hAnsi="Microsoft YaHei"/>
          <w:sz w:val="22"/>
        </w:rPr>
        <w:t>架构评审：组织技术评审会议，邀请技术专家和利益相关方对架构方案进行评审。</w:t>
      </w:r>
    </w:p>
    <w:p>
      <w:pPr>
        <w:pStyle w:val="ListNumber"/>
      </w:pPr>
      <w:r>
        <w:rPr>
          <w:rFonts w:ascii="Microsoft YaHei" w:hAnsi="Microsoft YaHei"/>
          <w:sz w:val="22"/>
        </w:rPr>
        <w:t>标准制定：制定平台接入标准、数据规范、接口规约及安全基线。</w:t>
      </w:r>
    </w:p>
    <w:p>
      <w:pPr>
        <w:pStyle w:val="ListNumber"/>
      </w:pPr>
      <w:r>
        <w:rPr>
          <w:rFonts w:ascii="Microsoft YaHei" w:hAnsi="Microsoft YaHei"/>
          <w:sz w:val="22"/>
        </w:rPr>
        <w:t>方案落地：协调研发团队进行架构落地，提供技术支持和指导。</w:t>
      </w:r>
    </w:p>
    <w:p>
      <w:pPr>
        <w:pStyle w:val="ListNumber"/>
      </w:pPr>
      <w:r>
        <w:rPr>
          <w:rFonts w:ascii="Microsoft YaHei" w:hAnsi="Microsoft YaHei"/>
          <w:sz w:val="22"/>
        </w:rPr>
        <w:t>持续优化：监控平台运行状态，评估架构效果，持续优化架构设计。</w:t>
      </w:r>
    </w:p>
    <w:p>
      <w:pPr>
        <w:pStyle w:val="Heading2"/>
      </w:pPr>
      <w:r>
        <w:rPr>
          <w:rFonts w:ascii="Microsoft YaHei" w:hAnsi="Microsoft YaHei"/>
          <w:color w:val="4472C4"/>
          <w:sz w:val="28"/>
        </w:rPr>
        <w:t>4.2 技术方案评审流程</w:t>
      </w:r>
    </w:p>
    <w:p>
      <w:pPr>
        <w:pStyle w:val="ListNumber"/>
      </w:pPr>
      <w:r>
        <w:rPr>
          <w:rFonts w:ascii="Microsoft YaHei" w:hAnsi="Microsoft YaHei"/>
          <w:sz w:val="22"/>
        </w:rPr>
        <w:t>接收业务团队提交的技术方案。</w:t>
      </w:r>
    </w:p>
    <w:p>
      <w:pPr>
        <w:pStyle w:val="ListNumber"/>
      </w:pPr>
      <w:r>
        <w:rPr>
          <w:rFonts w:ascii="Microsoft YaHei" w:hAnsi="Microsoft YaHei"/>
          <w:sz w:val="22"/>
        </w:rPr>
        <w:t>审查方案是否符合平台架构规范和安全基线。</w:t>
      </w:r>
    </w:p>
    <w:p>
      <w:pPr>
        <w:pStyle w:val="ListNumber"/>
      </w:pPr>
      <w:r>
        <w:rPr>
          <w:rFonts w:ascii="Microsoft YaHei" w:hAnsi="Microsoft YaHei"/>
          <w:sz w:val="22"/>
        </w:rPr>
        <w:t>识别架构风险和技术债务。</w:t>
      </w:r>
    </w:p>
    <w:p>
      <w:pPr>
        <w:pStyle w:val="ListNumber"/>
      </w:pPr>
      <w:r>
        <w:rPr>
          <w:rFonts w:ascii="Microsoft YaHei" w:hAnsi="Microsoft YaHei"/>
          <w:sz w:val="22"/>
        </w:rPr>
        <w:t>提出改进建议和优化方案。</w:t>
      </w:r>
    </w:p>
    <w:p>
      <w:pPr>
        <w:pStyle w:val="ListNumber"/>
      </w:pPr>
      <w:r>
        <w:rPr>
          <w:rFonts w:ascii="Microsoft YaHei" w:hAnsi="Microsoft YaHei"/>
          <w:sz w:val="22"/>
        </w:rPr>
        <w:t>输出技术评估报告。</w:t>
      </w:r>
    </w:p>
    <w:p>
      <w:pPr>
        <w:pStyle w:val="Heading1"/>
      </w:pPr>
      <w:r>
        <w:rPr>
          <w:rFonts w:ascii="Microsoft YaHei" w:hAnsi="Microsoft YaHei"/>
          <w:color w:val="2E74B5"/>
          <w:sz w:val="32"/>
        </w:rPr>
        <w:t>五、交付物或考核指标</w:t>
      </w:r>
    </w:p>
    <w:p>
      <w:pPr>
        <w:pStyle w:val="ListBullet"/>
      </w:pPr>
      <w:r>
        <w:rPr>
          <w:rFonts w:ascii="Microsoft YaHei" w:hAnsi="Microsoft YaHei"/>
          <w:sz w:val="22"/>
        </w:rPr>
        <w:t>平台总体架构设计文档（含架构蓝图、演进路线）</w:t>
      </w:r>
    </w:p>
    <w:p>
      <w:pPr>
        <w:pStyle w:val="ListBullet"/>
      </w:pPr>
      <w:r>
        <w:rPr>
          <w:rFonts w:ascii="Microsoft YaHei" w:hAnsi="Microsoft YaHei"/>
          <w:sz w:val="22"/>
        </w:rPr>
        <w:t>技术选型评估报告与架构决策记录（ADR）</w:t>
      </w:r>
    </w:p>
    <w:p>
      <w:pPr>
        <w:pStyle w:val="ListBullet"/>
      </w:pPr>
      <w:r>
        <w:rPr>
          <w:rFonts w:ascii="Microsoft YaHei" w:hAnsi="Microsoft YaHei"/>
          <w:sz w:val="22"/>
        </w:rPr>
        <w:t>平台接入标准与数据规范文档</w:t>
      </w:r>
    </w:p>
    <w:p>
      <w:pPr>
        <w:pStyle w:val="ListBullet"/>
      </w:pPr>
      <w:r>
        <w:rPr>
          <w:rFonts w:ascii="Microsoft YaHei" w:hAnsi="Microsoft YaHei"/>
          <w:sz w:val="22"/>
        </w:rPr>
        <w:t>平台技术文档体系（架构说明、能力目录、集成指南）</w:t>
      </w:r>
    </w:p>
    <w:p>
      <w:pPr>
        <w:pStyle w:val="ListBullet"/>
      </w:pPr>
      <w:r>
        <w:rPr>
          <w:rFonts w:ascii="Microsoft YaHei" w:hAnsi="Microsoft YaHei"/>
          <w:sz w:val="22"/>
        </w:rPr>
        <w:t>平台SLA可用性指标 ≥ 99.9%</w:t>
      </w:r>
    </w:p>
    <w:p>
      <w:pPr>
        <w:pStyle w:val="ListBullet"/>
      </w:pPr>
      <w:r>
        <w:rPr>
          <w:rFonts w:ascii="Microsoft YaHei" w:hAnsi="Microsoft YaHei"/>
          <w:sz w:val="22"/>
        </w:rPr>
        <w:t>技术方案评审通过率与架构合规率</w:t>
      </w:r>
    </w:p>
    <w:p>
      <w:pPr>
        <w:pStyle w:val="ListBullet"/>
      </w:pPr>
      <w:r>
        <w:rPr>
          <w:rFonts w:ascii="Microsoft YaHei" w:hAnsi="Microsoft YaHei"/>
          <w:sz w:val="22"/>
        </w:rPr>
        <w:t>平台技术投入产出比（ROI）</w:t>
      </w:r>
    </w:p>
    <w:p>
      <w:pPr>
        <w:pStyle w:val="Heading1"/>
      </w:pPr>
      <w:r>
        <w:rPr>
          <w:rFonts w:ascii="Microsoft YaHei" w:hAnsi="Microsoft YaHei"/>
          <w:color w:val="2E74B5"/>
          <w:sz w:val="32"/>
        </w:rPr>
        <w:t>原始来源与引用信息</w:t>
      </w:r>
    </w:p>
    <w:p>
      <w:r>
        <w:rPr>
          <w:rFonts w:ascii="Microsoft YaHei" w:hAnsi="Microsoft YaHei"/>
          <w:b w:val="0"/>
          <w:sz w:val="22"/>
        </w:rPr>
        <w:t>■ 猎聘 - 工业互联网架构师岗位职责</w:t>
      </w:r>
    </w:p>
    <w:p>
      <w:r>
        <w:rPr>
          <w:rFonts w:ascii="Microsoft YaHei" w:hAnsi="Microsoft YaHei"/>
          <w:b w:val="0"/>
          <w:sz w:val="22"/>
        </w:rPr>
        <w:t xml:space="preserve">  URL: https://m.liepin.com/jobsgyhlwjgs/</w:t>
      </w:r>
    </w:p>
    <w:p>
      <w:r>
        <w:rPr>
          <w:rFonts w:ascii="Microsoft YaHei" w:hAnsi="Microsoft YaHei"/>
          <w:b w:val="0"/>
          <w:sz w:val="22"/>
        </w:rPr>
        <w:t xml:space="preserve">  发布日期/版本: 2026-08-11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BOSS直聘 - 某大型知名互联网上市公司工业互联网架构师</w:t>
      </w:r>
    </w:p>
    <w:p>
      <w:r>
        <w:rPr>
          <w:rFonts w:ascii="Microsoft YaHei" w:hAnsi="Microsoft YaHei"/>
          <w:b w:val="0"/>
          <w:sz w:val="22"/>
        </w:rPr>
        <w:t xml:space="preserve">  URL: https://refund.zhipin.com/job_detail/8adf52fa363864aa0nd629q_GVJW.html</w:t>
      </w:r>
    </w:p>
    <w:p>
      <w:r>
        <w:rPr>
          <w:rFonts w:ascii="Microsoft YaHei" w:hAnsi="Microsoft YaHei"/>
          <w:b w:val="0"/>
          <w:sz w:val="22"/>
        </w:rPr>
        <w:t xml:space="preserve">  发布日期/版本: 2026-07-25</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国聘 - 中广核数字科技有限公司工业互联网架构师</w:t>
      </w:r>
    </w:p>
    <w:p>
      <w:r>
        <w:rPr>
          <w:rFonts w:ascii="Microsoft YaHei" w:hAnsi="Microsoft YaHei"/>
          <w:b w:val="0"/>
          <w:sz w:val="22"/>
        </w:rPr>
        <w:t xml:space="preserve">  URL: https://www.iguopin.com/job/detail?id=152546521756205706</w:t>
      </w:r>
    </w:p>
    <w:p>
      <w:r>
        <w:rPr>
          <w:rFonts w:ascii="Microsoft YaHei" w:hAnsi="Microsoft YaHei"/>
          <w:b w:val="0"/>
          <w:sz w:val="22"/>
        </w:rPr>
        <w:t xml:space="preserve">  发布日期/版本: 2026-04-21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智联招聘 - 盈峰环境IOT系统架构师</w:t>
      </w:r>
    </w:p>
    <w:p>
      <w:r>
        <w:rPr>
          <w:rFonts w:ascii="Microsoft YaHei" w:hAnsi="Microsoft YaHei"/>
          <w:b w:val="0"/>
          <w:sz w:val="22"/>
        </w:rPr>
        <w:t xml:space="preserve">  URL: https://m.zhaopin.com/jobs/CC404818830J40760506802.htm</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明阳智慧能源工业互联网平台架构师</w:t>
      </w:r>
    </w:p>
    <w:p>
      <w:r>
        <w:rPr>
          <w:rFonts w:ascii="Microsoft YaHei" w:hAnsi="Microsoft YaHei"/>
          <w:b w:val="0"/>
          <w:sz w:val="22"/>
        </w:rPr>
        <w:t xml:space="preserve">  URL: https://m.qcc.com/jobdetail/6716de355d9606b589821f003a54022b.html</w:t>
      </w:r>
    </w:p>
    <w:p>
      <w:r>
        <w:rPr>
          <w:rFonts w:ascii="Microsoft YaHei" w:hAnsi="Microsoft YaHei"/>
          <w:b w:val="0"/>
          <w:sz w:val="22"/>
        </w:rPr>
        <w:t xml:space="preserve">  发布日期/版本: 2026-06-04</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