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49CB2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必备技能</w:t>
      </w:r>
    </w:p>
    <w:p w14:paraId="180AF5A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软件工程基础</w:t>
      </w:r>
    </w:p>
    <w:p w14:paraId="23CBE99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熟练使用 Python；能阅读和编写类型清晰、可测试、可维护的服务端代码。具备 Java/TypeScript/Go 中至少一种工程经验更佳。掌握 HTTP/REST、异步 I/O、数据库、缓存、消息队列、并发、鉴权、日志、测试、Git 与 CI/CD。能把模型调用封装成稳定接口，正确处理超时、重试、限流、流式响应、幂等、降级和错误预算。</w:t>
      </w:r>
    </w:p>
    <w:p w14:paraId="76880F04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大模型应用能力</w:t>
      </w:r>
    </w:p>
    <w:p w14:paraId="5006DB0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理解 token、上下文窗口、采样、提示词层级、结构化输出、多轮状态、缓存、吞吐、延迟与成本之间的取舍。能设计清晰的系统指令、示例与输出 Schema，并用评测证明改动有效，而非只凭主观体验调提示词。掌握 Embedding、向量检索、关键词/混合检索、切分、元数据过滤、重排、引用与 RAG 评测。掌握 Function/Tool Calling：定义工具、验证参数、执行工具、返回结果，并控制权限、循环次数和终止条件。理解工作流与 Agent 的差异，能在确定性流程、单智能体和多智能体之间做复杂度选择。</w:t>
      </w:r>
    </w:p>
    <w:p w14:paraId="50DEE0F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评测、安全与产品能力</w:t>
      </w:r>
    </w:p>
    <w:p w14:paraId="7990B521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80" w:firstLineChars="20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能把业务目标转成测试样本与评分标准，建立黄金集、人工评审、自动评分、回归测试、A/B 实验和错误分析。了解提示注入、敏感信息泄露、知识库污染、不当输出处理、过度授权、不可控成本等风险及缓解措施。具备产品意识：知道何时拒答、何时请求澄清、何时展示引用、何时转人工，并能解释质量、成本和体验的取舍。具备跨团队沟通与文档能力，能与领域专家一起定义“好答案”，并将合规要求落实为可测试的工程控制。</w:t>
      </w:r>
    </w:p>
    <w:p w14:paraId="523E5BDD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</w:p>
    <w:p w14:paraId="67479B70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常用工具和技术</w:t>
      </w:r>
    </w:p>
    <w:p w14:paraId="1F41566B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选型原则：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框架不是必选项。先确认任务、评测与风险，再选择最小可行组件；所有版本号应在项目中锁定并经过回归测试。下列为常见组合，不代表必须全部掌握。</w:t>
      </w:r>
    </w:p>
    <w:p w14:paraId="4DB0413D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模型与 API：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OpenAI Responses API、Anthropic API、Google Gemini API、Azure OpenAI、Amazon Bedrock、国内云模型 API；开源模型可通过 Hugging Face Transformers、Ollama、vLLM 等运行。OpenAI 官方 Python SDK 使用 Apache-2.0；vLLM 使用 Apache-2.0。</w:t>
      </w:r>
    </w:p>
    <w:p w14:paraId="665DA6E6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编排与智能体：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原生 SDK 与自建状态机优先用于简单、可控流程；LangChain/LangGraph、LlamaIndex、OpenAI Agents SDK 等用于组合检索、工具、状态与可观测性。LangChain 与 LlamaIndex 核心开源仓库均为 MIT。</w:t>
      </w:r>
    </w:p>
    <w:p w14:paraId="48B4A9C8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检索与数据：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PostgreSQL/pgvector、Elasticsearch/OpenSearch、Milvus、Qdrant、Pinecone、Weaviate；文档解析可用 Unstructured、Apache Tika、PyMuPDF 等。需要同时管理原文、分块、元数据、权限和更新策略。</w:t>
      </w:r>
    </w:p>
    <w:p w14:paraId="3AB24894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服务与接口：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FastAPI、Pydantic、Uvicorn/Gunicorn、Spring Boot、Node.js/NestJS；Redis、Kafka/RabbitMQ/Celery；FastAPI 官方仓库采用 MIT。</w:t>
      </w:r>
    </w:p>
    <w:p w14:paraId="7CD1BF87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评测与可观测：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OpenAI Evals/Graders、LangSmith、Langfuse、Arize Phoenix、Ragas、DeepEval、Promptfoo；OpenTelemetry、Prometheus、Grafana、Sentry。关键是保留输入版本、模型/提示版本、检索结果、工具轨迹、延迟、token 与成本。</w:t>
      </w:r>
    </w:p>
    <w:p w14:paraId="7D74813E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部署与推理：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Docker、Kubernetes、GPU/CPU 资源管理、NVIDIA Triton、vLLM；托管云上关注配额、地域、数据保留和服务降级，自部署关注吞吐、显存、量化、批处理与模型许可证。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 xml:space="preserve"> </w:t>
      </w:r>
    </w:p>
    <w:p w14:paraId="5815CCB1">
      <w:pPr>
        <w:keepNext w:val="0"/>
        <w:keepLines w:val="0"/>
        <w:widowControl w:val="0"/>
        <w:numPr>
          <w:ilvl w:val="0"/>
          <w:numId w:val="1"/>
        </w:numPr>
        <w:suppressLineNumbers w:val="0"/>
        <w:spacing w:before="0" w:beforeAutospacing="0" w:after="0" w:afterAutospacing="0" w:line="360" w:lineRule="auto"/>
        <w:ind w:left="0" w:leftChars="0" w:right="0" w:firstLine="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安全与治理：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密钥管理、RBAC/ABAC、DLP/脱敏、内容审核、审计日志、沙箱、网络隔离。</w:t>
      </w: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 xml:space="preserve"> </w:t>
      </w:r>
    </w:p>
    <w:p w14:paraId="33E2210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/>
        </w:rPr>
      </w:pPr>
    </w:p>
    <w:p w14:paraId="5290C3C2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  <w:lang w:val="en-US" w:eastAsia="zh-CN"/>
        </w:rPr>
        <w:t>实践案例</w:t>
      </w:r>
    </w:p>
    <w:p w14:paraId="5CDCBFAF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案例一：真实岗位说明——OpenAI Applied AI Engineer</w:t>
      </w:r>
    </w:p>
    <w:p w14:paraId="4615A22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OpenAI 的 Codex Core Agent 团队公开招聘 Applied AI Engineer，岗位目标是把智能体从“令人印象深刻的演示”变为可靠工具。公开职责包括：设计真实编码任务和长周期工作流中的智能体行为；与研究团队建立评测，测量性能、回归、失败模式和边缘情况；通过提示词、工具使用策略和上下文构建改进性能；分析线上失败；建设反馈与数据系统；与产品团队共同塑造用户体验。岗位明确把 solve rate、usefulness 和 economic value 作为可衡量结果。这与本知识库对岗位职责和指标的归纳高度一致。</w:t>
      </w:r>
    </w:p>
    <w:p w14:paraId="6088B7E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</w:pPr>
    </w:p>
    <w:p w14:paraId="0701B926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案例二：中国招聘市场中的岗位画像</w:t>
      </w:r>
    </w:p>
    <w:p w14:paraId="2AB38BF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BOSS 直聘的公开职位聚合页显示，多家公司使用“大模型应用开发工程师”“AI 应用开发工程师”“大模型服务开发平台研发工程师”等名称。阿里巴巴相关职位描述覆盖电商 AI 产品的全流程开发、Agent 架构设计、工程实现、部署与迭代，以及 RAG、知识库、向量数据</w:t>
      </w:r>
      <w:bookmarkStart w:id="0" w:name="_GoBack"/>
      <w:bookmarkEnd w:id="0"/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库和推理部署；快手相关职位强调 Prompt 工程、RAG 工程、模型微调、推理加速和多领域数据工程；字节跳动相关职位强调大模型开发平台和 AI 能力增强产品体验。聚合页会随招聘状态变化，因此本文仅用于证明真实岗位的任务边界，具体要求应以打开页面时的单条职位为准。</w:t>
      </w:r>
    </w:p>
    <w:p w14:paraId="33AA48A7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b/>
          <w:bCs/>
          <w:sz w:val="24"/>
          <w:szCs w:val="24"/>
          <w:lang w:val="en-US"/>
        </w:rPr>
      </w:pPr>
    </w:p>
    <w:p w14:paraId="5C4B69DB"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"/>
        </w:rPr>
        <w:t>案例三：Morgan Stanley——企业知识检索与会议总结</w:t>
      </w:r>
    </w:p>
    <w:p w14:paraId="5468754E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"/>
        </w:rPr>
        <w:t>Morgan Stanley Wealth Management 将 GPT-4 嵌入内部工作流，建设 AI @ Morgan Stanley Assistant 用于顾问知识检索，并建设 Debrief 将经客户同意的 Zoom 录音转换为会议纪要、CRM 客户备注和跟进草稿。官方案例强调评测先行：专家和提示工程师评价摘要的准确性与连贯性；团队扩展翻译评测、优化检索，并每天使用回归样本检查质量与合规。公开结果包括：超过 98% 的顾问团队使用相关 AI 工具；可访问文档比例由 20% 提升到 80%；系统从可回答约 7,000 个问题扩展到覆盖 100,000 份文档语料。这个案例体现了 RAG、评测、人工复核、隐私控制和生产回归的完整闭环。</w:t>
      </w:r>
    </w:p>
    <w:p w14:paraId="7ACE7E80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宋体">
    <w:panose1 w:val="02010600030101010101"/>
    <w:charset w:val="86"/>
    <w:family w:val="auto"/>
    <w:pitch w:val="variable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4F4070F"/>
    <w:multiLevelType w:val="singleLevel"/>
    <w:tmpl w:val="94F4070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2957FE"/>
    <w:rsid w:val="19125026"/>
    <w:rsid w:val="30EE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Calibri" w:hAnsi="Calibri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1010</Words>
  <Characters>1585</Characters>
  <Lines>0</Lines>
  <Paragraphs>0</Paragraphs>
  <TotalTime>2</TotalTime>
  <ScaleCrop>false</ScaleCrop>
  <LinksUpToDate>false</LinksUpToDate>
  <CharactersWithSpaces>1644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2026-08-13T13:17:00Z</dcterms:created>
  <dc:creator>19213</dc:creator>
  <cp:lastModifiedBy>周翔</cp:lastModifiedBy>
  <dcterms:modified xsi:type="dcterms:W3CDTF">2026-08-13T13:20:25Z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eyJoZGlkIjoiYzRmNzQ2OGE5YmFiNDhkZDNmNzAxMDNjODA5NjNmNDUiLCJ1c2VySWQiOiIxNzI4NzM0NTM4In0=</vt:lpwstr>
  </property>
  <property fmtid="{D5CDD505-2E9C-101B-9397-08002B2CF9AE}" pid="4" name="ICV">
    <vt:lpwstr>645F40BB214941159F9F83DDA214A52B_12</vt:lpwstr>
  </property>
</Properties>
</file>