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  <w:pBdr>
          <w:bottom w:val="single" w:sz="10" w:color="7F7F7F"/>
        </w:pBdr>
      </w:pPr>
      <w:r>
        <w:rPr>
          <w:rFonts w:ascii="Times New Roman" w:hAnsi="Times New Roman" w:eastAsia="黑体"/>
          <w:b/>
          <w:color w:val="666666"/>
          <w:sz w:val="30"/>
        </w:rPr>
        <w:t>StudyMate：基于大模型的个性化资源生成与学习多智能体系统</w:t>
      </w:r>
    </w:p>
    <w:p/>
    <w:p/>
    <w:p/>
    <w:p/>
    <w:p>
      <w:pPr>
        <w:jc w:val="center"/>
      </w:pPr>
      <w:r>
        <w:rPr>
          <w:rFonts w:ascii="Times New Roman" w:hAnsi="Times New Roman" w:eastAsia="仿宋_GB2312"/>
          <w:b w:val="0"/>
          <w:color w:val="666666"/>
          <w:sz w:val="25"/>
        </w:rPr>
        <w:t>＜StudyMate：基于大模型的个性化资源生成与学习多智能体系统＞</w:t>
      </w:r>
    </w:p>
    <w:p>
      <w:pPr>
        <w:jc w:val="center"/>
      </w:pPr>
      <w:r>
        <w:rPr>
          <w:rFonts w:ascii="Times New Roman" w:hAnsi="Times New Roman" w:eastAsia="黑体"/>
          <w:b/>
          <w:sz w:val="62"/>
        </w:rPr>
        <w:t>系统部署说明</w:t>
      </w:r>
    </w:p>
    <w:p/>
    <w:p/>
    <w:p/>
    <w:p/>
    <w:p>
      <w:pPr>
        <w:jc w:val="center"/>
      </w:pPr>
      <w:r>
        <w:rPr>
          <w:rFonts w:ascii="Times New Roman" w:hAnsi="Times New Roman" w:eastAsia="仿宋_GB2312"/>
          <w:b w:val="0"/>
          <w:sz w:val="26"/>
        </w:rPr>
        <w:t>作者：________、________、________、________、________</w:t>
      </w:r>
    </w:p>
    <w:p>
      <w:r>
        <w:br w:type="page"/>
      </w:r>
    </w:p>
    <w:p>
      <w:pPr>
        <w:spacing w:after="280"/>
        <w:jc w:val="center"/>
        <w:pBdr>
          <w:bottom w:val="single" w:sz="6" w:color="7F7F7F"/>
        </w:pBdr>
      </w:pPr>
      <w:r>
        <w:rPr>
          <w:rFonts w:ascii="Times New Roman" w:hAnsi="Times New Roman" w:eastAsia="黑体"/>
          <w:b/>
          <w:color w:val="666666"/>
          <w:sz w:val="17"/>
        </w:rPr>
        <w:t>StudyMate：基于大模型的个性化资源生成与学习多智能体系统</w:t>
      </w:r>
    </w:p>
    <w:p>
      <w:pPr>
        <w:spacing w:after="320"/>
        <w:jc w:val="center"/>
      </w:pPr>
      <w:r>
        <w:rPr>
          <w:rFonts w:ascii="Times New Roman" w:hAnsi="Times New Roman" w:eastAsia="黑体"/>
          <w:b/>
          <w:sz w:val="44"/>
        </w:rPr>
        <w:t>目  录</w:t>
      </w:r>
    </w:p>
    <w:p>
      <w:pPr>
        <w:spacing w:before="0" w:after="20" w:line="240" w:lineRule="auto"/>
        <w:ind w:left="0"/>
        <w:tabs>
          <w:tab w:val="right" w:leader="dot" w:pos="9200"/>
        </w:tabs>
      </w:pPr>
      <w:r>
        <w:rPr>
          <w:rFonts w:ascii="Times New Roman" w:hAnsi="Times New Roman" w:eastAsia="黑体"/>
          <w:b/>
          <w:sz w:val="20"/>
        </w:rPr>
        <w:t>1 系统概述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toc_0000 \h </w:instrText>
        <w:fldChar w:fldCharType="separate"/>
        <w:t>1</w:t>
        <w:fldChar w:fldCharType="end"/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1.1 项目简介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toc_0001 \h </w:instrText>
        <w:fldChar w:fldCharType="separate"/>
        <w:t>1</w:t>
        <w:fldChar w:fldCharType="end"/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1.2 环境地址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toc_0002 \h </w:instrText>
        <w:fldChar w:fldCharType="separate"/>
        <w:t>1</w:t>
        <w:fldChar w:fldCharType="end"/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1.3 核心功能模块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toc_0003 \h </w:instrText>
        <w:fldChar w:fldCharType="separate"/>
        <w:t>1</w:t>
        <w:fldChar w:fldCharType="end"/>
      </w:r>
    </w:p>
    <w:p>
      <w:pPr>
        <w:spacing w:before="0" w:after="20" w:line="240" w:lineRule="auto"/>
        <w:ind w:left="0"/>
        <w:tabs>
          <w:tab w:val="right" w:leader="dot" w:pos="9200"/>
        </w:tabs>
      </w:pPr>
      <w:r>
        <w:rPr>
          <w:rFonts w:ascii="Times New Roman" w:hAnsi="Times New Roman" w:eastAsia="黑体"/>
          <w:b/>
          <w:sz w:val="20"/>
        </w:rPr>
        <w:t>2 技术架构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toc_0004 \h </w:instrText>
        <w:fldChar w:fldCharType="separate"/>
        <w:t>1</w:t>
        <w:fldChar w:fldCharType="end"/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2.1 系统架构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toc_0005 \h </w:instrText>
        <w:fldChar w:fldCharType="separate"/>
        <w:t>1</w:t>
        <w:fldChar w:fldCharType="end"/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2.2 技术栈详情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toc_0006 \h </w:instrText>
        <w:fldChar w:fldCharType="separate"/>
        <w:t>3</w:t>
        <w:fldChar w:fldCharType="end"/>
      </w:r>
    </w:p>
    <w:p>
      <w:pPr>
        <w:spacing w:before="0" w:after="20" w:line="240" w:lineRule="auto"/>
        <w:ind w:left="0"/>
        <w:tabs>
          <w:tab w:val="right" w:leader="dot" w:pos="9200"/>
        </w:tabs>
      </w:pPr>
      <w:r>
        <w:rPr>
          <w:rFonts w:ascii="Times New Roman" w:hAnsi="Times New Roman" w:eastAsia="黑体"/>
          <w:b/>
          <w:sz w:val="20"/>
        </w:rPr>
        <w:t>3 环境要求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toc_0007 \h </w:instrText>
        <w:fldChar w:fldCharType="separate"/>
        <w:t>3</w:t>
        <w:fldChar w:fldCharType="end"/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3.1 硬件配置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toc_0008 \h </w:instrText>
        <w:fldChar w:fldCharType="separate"/>
        <w:t>3</w:t>
        <w:fldChar w:fldCharType="end"/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3.2 软件环境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toc_0009 \h </w:instrText>
        <w:fldChar w:fldCharType="separate"/>
        <w:t>3</w:t>
        <w:fldChar w:fldCharType="end"/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3.3 网络与端口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toc_0010 \h </w:instrText>
        <w:fldChar w:fldCharType="separate"/>
        <w:t>4</w:t>
        <w:fldChar w:fldCharType="end"/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3.4 容量与资源水位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toc_0011 \h </w:instrText>
        <w:fldChar w:fldCharType="separate"/>
        <w:t>4</w:t>
        <w:fldChar w:fldCharType="end"/>
      </w:r>
    </w:p>
    <w:p>
      <w:pPr>
        <w:spacing w:before="0" w:after="20" w:line="240" w:lineRule="auto"/>
        <w:ind w:left="0"/>
        <w:tabs>
          <w:tab w:val="right" w:leader="dot" w:pos="9200"/>
        </w:tabs>
      </w:pPr>
      <w:r>
        <w:rPr>
          <w:rFonts w:ascii="Times New Roman" w:hAnsi="Times New Roman" w:eastAsia="黑体"/>
          <w:b/>
          <w:sz w:val="20"/>
        </w:rPr>
        <w:t>4 部署流程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toc_0012 \h </w:instrText>
        <w:fldChar w:fldCharType="separate"/>
        <w:t>4</w:t>
        <w:fldChar w:fldCharType="end"/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4.1 部署准备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toc_0013 \h </w:instrText>
        <w:fldChar w:fldCharType="separate"/>
        <w:t>4</w:t>
        <w:fldChar w:fldCharType="end"/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4.2 详细部署步骤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toc_0014 \h </w:instrText>
        <w:fldChar w:fldCharType="separate"/>
        <w:t>4</w:t>
        <w:fldChar w:fldCharType="end"/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4.3 部署完成与访问确认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toc_0015 \h </w:instrText>
        <w:fldChar w:fldCharType="separate"/>
        <w:t>5</w:t>
        <w:fldChar w:fldCharType="end"/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4.4 上线判断与变更边界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toc_0016 \h </w:instrText>
        <w:fldChar w:fldCharType="separate"/>
        <w:t>5</w:t>
        <w:fldChar w:fldCharType="end"/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4.5 配置分级与能力降级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toc_0017 \h </w:instrText>
        <w:fldChar w:fldCharType="separate"/>
        <w:t>5</w:t>
        <w:fldChar w:fldCharType="end"/>
      </w:r>
    </w:p>
    <w:p>
      <w:pPr>
        <w:spacing w:before="0" w:after="20" w:line="240" w:lineRule="auto"/>
        <w:ind w:left="0"/>
        <w:tabs>
          <w:tab w:val="right" w:leader="dot" w:pos="9200"/>
        </w:tabs>
      </w:pPr>
      <w:r>
        <w:rPr>
          <w:rFonts w:ascii="Times New Roman" w:hAnsi="Times New Roman" w:eastAsia="黑体"/>
          <w:b/>
          <w:sz w:val="20"/>
        </w:rPr>
        <w:t>5 运维与监控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toc_0018 \h </w:instrText>
        <w:fldChar w:fldCharType="separate"/>
        <w:t>6</w:t>
        <w:fldChar w:fldCharType="end"/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5.1 日常维护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toc_0019 \h </w:instrText>
        <w:fldChar w:fldCharType="separate"/>
        <w:t>6</w:t>
        <w:fldChar w:fldCharType="end"/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5.2 数据备份与恢复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toc_0020 \h </w:instrText>
        <w:fldChar w:fldCharType="separate"/>
        <w:t>6</w:t>
        <w:fldChar w:fldCharType="end"/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5.3 故障排查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toc_0021 \h </w:instrText>
        <w:fldChar w:fldCharType="separate"/>
        <w:t>6</w:t>
        <w:fldChar w:fldCharType="end"/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5.4 运维边界与验收留痕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toc_0022 \h </w:instrText>
        <w:fldChar w:fldCharType="separate"/>
        <w:t>6</w:t>
        <w:fldChar w:fldCharType="end"/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5.5 发布后观察与结束处理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toc_0023 \h </w:instrText>
        <w:fldChar w:fldCharType="separate"/>
        <w:t>6</w:t>
        <w:fldChar w:fldCharType="end"/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5.6 比赛展示与故障兜底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toc_0024 \h </w:instrText>
        <w:fldChar w:fldCharType="separate"/>
        <w:t>7</w:t>
        <w:fldChar w:fldCharType="end"/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5.7 最终交付验收清单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toc_0025 \h </w:instrText>
        <w:fldChar w:fldCharType="separate"/>
        <w:t>7</w:t>
        <w:fldChar w:fldCharType="end"/>
      </w:r>
    </w:p>
    <w:p>
      <w:pPr>
        <w:spacing w:before="0" w:after="2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20"/>
        </w:rPr>
        <w:t>5.8 部署交接责任与资料去向</w:t>
      </w:r>
      <w:r>
        <w:rPr>
          <w:rFonts w:ascii="Times New Roman" w:hAnsi="Times New Roman" w:eastAsia="仿宋_GB2312"/>
          <w:b w:val="0"/>
          <w:sz w:val="20"/>
        </w:rPr>
        <w:tab/>
      </w:r>
      <w:r>
        <w:rPr>
          <w:rFonts w:ascii="Times New Roman" w:hAnsi="Times New Roman" w:eastAsia="仿宋_GB2312"/>
          <w:b w:val="0"/>
          <w:sz w:val="20"/>
        </w:rPr>
        <w:fldChar w:fldCharType="begin"/>
        <w:instrText xml:space="preserve"> PAGEREF toc_0026 \h </w:instrText>
        <w:fldChar w:fldCharType="separate"/>
        <w:t>7</w:t>
        <w:fldChar w:fldCharType="end"/>
      </w:r>
    </w:p>
    <w:p>
      <w:pPr>
        <w:sectPr>
          <w:pgSz w:w="11906" w:h="16838"/>
          <w:pgMar w:top="1162" w:right="1134" w:bottom="935" w:left="1191" w:header="425" w:footer="369" w:gutter="0"/>
          <w:cols w:space="720"/>
          <w:docGrid w:linePitch="360"/>
        </w:sectPr>
      </w:pPr>
    </w:p>
    <w:p>
      <w:bookmarkStart w:id="1" w:name="toc_0000"/>
      <w:pPr>
        <w:pStyle w:val="Heading1"/>
      </w:pPr>
      <w:r>
        <w:rPr>
          <w:rFonts w:ascii="Times New Roman" w:hAnsi="Times New Roman" w:eastAsia="黑体"/>
          <w:b/>
          <w:sz w:val="34"/>
        </w:rPr>
        <w:t>1 系统概述</w:t>
      </w:r>
      <w:bookmarkEnd w:id="1"/>
    </w:p>
    <w:p>
      <w:bookmarkStart w:id="2" w:name="toc_0001"/>
      <w:pPr>
        <w:pStyle w:val="Heading2"/>
      </w:pPr>
      <w:r>
        <w:rPr>
          <w:rFonts w:ascii="Times New Roman" w:hAnsi="Times New Roman" w:eastAsia="黑体"/>
          <w:b/>
          <w:sz w:val="27"/>
        </w:rPr>
        <w:t>1.1 项目简介</w:t>
      </w:r>
      <w:bookmarkEnd w:id="2"/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StudyMate 是面向高校计算机类课程的个性化资源生成与学习多智能体系统，融合学习画像、混合检索、资源生成、测验评估、语音交互和在线代码执行。</w:t>
      </w: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系统覆盖五门计算机课程，七个智能体分别负责检索、讲解、导图、测验、阅读、代码和学习路径，生成内容可保存并追溯来源。</w:t>
      </w:r>
    </w:p>
    <w:p>
      <w:bookmarkStart w:id="3" w:name="toc_0002"/>
      <w:pPr>
        <w:pStyle w:val="Heading2"/>
      </w:pPr>
      <w:r>
        <w:rPr>
          <w:rFonts w:ascii="Times New Roman" w:hAnsi="Times New Roman" w:eastAsia="黑体"/>
          <w:b/>
          <w:sz w:val="27"/>
        </w:rPr>
        <w:t>1.2 环境地址</w:t>
      </w:r>
      <w:bookmarkEnd w:id="3"/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开发环境：http://localhost:5173</w:t>
      </w: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生产环境：https://matropic.cn（已部署，可访问）</w:t>
      </w: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服务器公网 IP：121.40.64.199；备案号：豫ICP备2026028221号。</w:t>
      </w: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测试账户：种子库共 34 个账号，包括 1 个管理员、10 个评委、15 个编号测试账号和 8 个命名学生；线上当前共有 38 个用户。</w:t>
      </w: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竞赛账号使用约定测试密码；test1～test15 的密码由维护人员通过专用变量设置。</w:t>
      </w:r>
    </w:p>
    <w:p>
      <w:bookmarkStart w:id="4" w:name="toc_0003"/>
      <w:pPr>
        <w:pStyle w:val="Heading2"/>
      </w:pPr>
      <w:r>
        <w:rPr>
          <w:rFonts w:ascii="Times New Roman" w:hAnsi="Times New Roman" w:eastAsia="黑体"/>
          <w:b/>
          <w:sz w:val="27"/>
        </w:rPr>
        <w:t>1.3 核心功能模块</w:t>
      </w:r>
      <w:bookmarkEnd w:id="4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790"/>
        <w:gridCol w:w="4790"/>
      </w:tblGrid>
      <w:tr>
        <w:trPr>
          <w:tblHeader w:val="true"/>
        </w:trP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功能模块</w:t>
            </w:r>
          </w:p>
        </w:tc>
        <w:tc>
          <w:tcPr>
            <w:tcW w:type="dxa" w:w="680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核心功能点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用户与权限</w:t>
            </w:r>
          </w:p>
        </w:tc>
        <w:tc>
          <w:tcPr>
            <w:tcW w:type="dxa" w:w="680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邮箱认证：支持注册、登录、退出和会话续期。</w:t>
              <w:br/>
              <w:t>角色权限：区分 student、judge、admin。</w:t>
              <w:br/>
              <w:t>安全会话：采用 HttpOnly、SameSite 与 Secure Cookie。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学习画像</w:t>
            </w:r>
          </w:p>
        </w:tc>
        <w:tc>
          <w:tcPr>
            <w:tcW w:type="dxa" w:w="680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七维画像：记录基础、目标、薄弱点和学习偏好。</w:t>
              <w:br/>
              <w:t>证据更新：结合测验、行为和图片识别。</w:t>
              <w:br/>
              <w:t>确认写回：报告经用户确认后更新画像。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课程与 RAG</w:t>
            </w:r>
          </w:p>
        </w:tc>
        <w:tc>
          <w:tcPr>
            <w:tcW w:type="dxa" w:w="680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课程空间：五门课程独立检索与会话。</w:t>
              <w:br/>
              <w:t>混合检索：BM25 与 Qwen 向量经 RRF 融合。</w:t>
              <w:br/>
              <w:t>引用追溯：展示来源、页码和原文片段。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多智能体生成</w:t>
            </w:r>
          </w:p>
        </w:tc>
        <w:tc>
          <w:tcPr>
            <w:tcW w:type="dxa" w:w="680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Retriever：检索课程证据。</w:t>
              <w:br/>
              <w:t>Doc、MindMap、Quiz、Reading、Code：生成学习资源。</w:t>
              <w:br/>
              <w:t>Path：规划渐进学习路径并保存工作台。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AI 助教</w:t>
            </w:r>
          </w:p>
        </w:tc>
        <w:tc>
          <w:tcPr>
            <w:tcW w:type="dxa" w:w="680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课程对话：结合上下文和画像多轮问答。</w:t>
              <w:br/>
              <w:t>学习模式：支持费曼讲解与苏格拉底追问。</w:t>
              <w:br/>
              <w:t>流式与附件：支持 SSE、图片和文档。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790"/>
        <w:gridCol w:w="4790"/>
      </w:tblGrid>
      <w:tr>
        <w:trPr>
          <w:tblHeader w:val="true"/>
        </w:trP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功能模块</w:t>
            </w:r>
          </w:p>
        </w:tc>
        <w:tc>
          <w:tcPr>
            <w:tcW w:type="dxa" w:w="680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核心功能点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学习闭环</w:t>
            </w:r>
          </w:p>
        </w:tc>
        <w:tc>
          <w:tcPr>
            <w:tcW w:type="dxa" w:w="680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笔记与错题：支持文件夹、标签和课程归档。</w:t>
              <w:br/>
              <w:t>测验报告：记录作答、掌握度和阶段建议。</w:t>
              <w:br/>
              <w:t>画像回写：确认后的结果用于后续生成。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可视讲解</w:t>
            </w:r>
          </w:p>
        </w:tc>
        <w:tc>
          <w:tcPr>
            <w:tcW w:type="dxa" w:w="680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主题资源：五门课程共 300 个可视主题。</w:t>
              <w:br/>
              <w:t>呈现方式：包含动画、黑板、公式、代码和图表。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语音与拍照</w:t>
            </w:r>
          </w:p>
        </w:tc>
        <w:tc>
          <w:tcPr>
            <w:tcW w:type="dxa" w:w="680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语音能力：支持 ASR 输入和多音色 TTS。</w:t>
              <w:br/>
              <w:t>图片能力：支持看图问答、拍照识题和图片转笔记。</w:t>
              <w:br/>
              <w:t>附件能力：支持常用文档与代码文件。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拓展与就业</w:t>
            </w:r>
          </w:p>
        </w:tc>
        <w:tc>
          <w:tcPr>
            <w:tcW w:type="dxa" w:w="680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学习资源：接入公开课程和可信阅读详情页。</w:t>
              <w:br/>
              <w:t>岗位建议：依据画像、课程和测验生成能力差距建议。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代码与管理</w:t>
            </w:r>
          </w:p>
        </w:tc>
        <w:tc>
          <w:tcPr>
            <w:tcW w:type="dxa" w:w="680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在线编程：运行 Python、C11 和 C++17，并限制资源。</w:t>
              <w:br/>
              <w:t>管理功能：支持账号、评委测试、反馈和统计。</w:t>
              <w:br/>
              <w:t>终端访问：PC 与手机共用 HTTPS 站点。</w:t>
            </w:r>
          </w:p>
        </w:tc>
      </w:tr>
    </w:tbl>
    <w:p>
      <w:pPr>
        <w:spacing w:before="0" w:after="0" w:line="40" w:lineRule="exact"/>
      </w:pPr>
    </w:p>
    <w:p>
      <w:bookmarkStart w:id="5" w:name="toc_0004"/>
      <w:pPr>
        <w:pStyle w:val="Heading1"/>
      </w:pPr>
      <w:r>
        <w:rPr>
          <w:rFonts w:ascii="Times New Roman" w:hAnsi="Times New Roman" w:eastAsia="黑体"/>
          <w:b/>
          <w:sz w:val="34"/>
        </w:rPr>
        <w:t>2 技术架构</w:t>
      </w:r>
      <w:bookmarkEnd w:id="5"/>
    </w:p>
    <w:p>
      <w:bookmarkStart w:id="6" w:name="toc_0005"/>
      <w:pPr>
        <w:pStyle w:val="Heading2"/>
      </w:pPr>
      <w:r>
        <w:rPr>
          <w:rFonts w:ascii="Times New Roman" w:hAnsi="Times New Roman" w:eastAsia="黑体"/>
          <w:b/>
          <w:sz w:val="27"/>
        </w:rPr>
        <w:t>2.1 系统架构</w:t>
      </w:r>
      <w:bookmarkEnd w:id="6"/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系统采用前后端分离和 Docker Compose 部署：Caddy 提供 HTTPS，Nginx 托管前端并代理 /api，FastAPI 连接 SQLite、课程 RAG、AI 服务和 Piston。</w:t>
      </w: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业务数据库、Piston runtime 和 HTTPS 证书分别保存在命名卷中，容器重建与前端更新不会覆盖已有运行数据。</w:t>
      </w:r>
    </w:p>
    <w:p>
      <w:pPr>
        <w:spacing w:before="0" w:after="0" w:line="25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248000" cy="46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_sho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4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59" w:lineRule="auto"/>
        <w:jc w:val="center"/>
      </w:pPr>
      <w:r>
        <w:rPr>
          <w:rFonts w:ascii="Times New Roman" w:hAnsi="Times New Roman" w:eastAsia="仿宋_GB2312"/>
          <w:b w:val="0"/>
          <w:sz w:val="17"/>
        </w:rPr>
        <w:t>图 2-1 系统架构图</w:t>
      </w:r>
    </w:p>
    <w:p>
      <w:pPr>
        <w:pStyle w:val="Heading3"/>
      </w:pPr>
      <w:r>
        <w:rPr>
          <w:rFonts w:ascii="Times New Roman" w:hAnsi="Times New Roman" w:eastAsia="黑体"/>
          <w:b/>
          <w:sz w:val="23"/>
        </w:rPr>
        <w:t>2.1.1 部署形态与适用边界</w:t>
      </w: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生产环境采用单机 Docker Compose：Caddy、Frontend、Backend 和 Piston 通过固定容器网络协作，SQLite、runtime 与证书保存在命名卷中。该形态适合竞赛展示和小规模公网访问，不包含多机高可用或自动数据库故障转移。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790"/>
        <w:gridCol w:w="4790"/>
      </w:tblGrid>
      <w:tr>
        <w:trPr>
          <w:tblHeader w:val="true"/>
        </w:trP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对象</w:t>
            </w:r>
          </w:p>
        </w:tc>
        <w:tc>
          <w:tcPr>
            <w:tcW w:type="dxa" w:w="65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当前边界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公网入口</w:t>
            </w:r>
          </w:p>
        </w:tc>
        <w:tc>
          <w:tcPr>
            <w:tcW w:type="dxa" w:w="65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仅 Caddy 暴露 80/443，其余服务不直接对公网开放。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数据</w:t>
            </w:r>
          </w:p>
        </w:tc>
        <w:tc>
          <w:tcPr>
            <w:tcW w:type="dxa" w:w="65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线上 backend_data 为权威数据源，镜像种子只初始化空卷。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外部能力</w:t>
            </w:r>
          </w:p>
        </w:tc>
        <w:tc>
          <w:tcPr>
            <w:tcW w:type="dxa" w:w="65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模型、语音、邮件和公开资源异常时按能力降级并明确提示。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扩容</w:t>
            </w:r>
          </w:p>
        </w:tc>
        <w:tc>
          <w:tcPr>
            <w:tcW w:type="dxa" w:w="65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出现持续高并发、SQLite 写锁或单机资源不足后再评估外置服务。</w:t>
            </w:r>
          </w:p>
        </w:tc>
      </w:tr>
    </w:tbl>
    <w:p>
      <w:pPr>
        <w:spacing w:before="0" w:after="0" w:line="40" w:lineRule="exact"/>
      </w:pPr>
    </w:p>
    <w:p>
      <w:bookmarkStart w:id="7" w:name="toc_0006"/>
      <w:pPr>
        <w:pStyle w:val="Heading2"/>
      </w:pPr>
      <w:r>
        <w:rPr>
          <w:rFonts w:ascii="Times New Roman" w:hAnsi="Times New Roman" w:eastAsia="黑体"/>
          <w:b/>
          <w:sz w:val="27"/>
        </w:rPr>
        <w:t>2.2 技术栈详情</w:t>
      </w:r>
      <w:bookmarkEnd w:id="7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194"/>
        <w:gridCol w:w="3194"/>
        <w:gridCol w:w="3194"/>
      </w:tblGrid>
      <w:tr>
        <w:trPr>
          <w:tblHeader w:val="true"/>
        </w:trP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分层</w:t>
            </w:r>
          </w:p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技术/组件</w:t>
            </w:r>
          </w:p>
        </w:tc>
        <w:tc>
          <w:tcPr>
            <w:tcW w:type="dxa" w:w="493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核心作用及当前状态</w:t>
            </w:r>
          </w:p>
        </w:tc>
      </w:tr>
      <w:tr>
        <w:tc>
          <w:tcPr>
            <w:tcW w:type="dxa" w:w="1531"/>
            <w:vAlign w:val="center"/>
            <w:vMerge w:val="restart"/>
            <w:tcMar>
              <w:top w:w="45" w:type="dxa"/>
              <w:start w:w="55" w:type="dxa"/>
              <w:bottom w:w="45" w:type="dxa"/>
              <w:end w:w="55" w:type="dxa"/>
            </w:tcMar>
            <w:shd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仿宋_GB2312"/>
                <w:b w:val="0"/>
                <w:sz w:val="15"/>
              </w:rPr>
              <w:t>基础设施层</w:t>
            </w:r>
          </w:p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阿里云 ECS / Ubuntu 22.04.5</w:t>
            </w:r>
          </w:p>
        </w:tc>
        <w:tc>
          <w:tcPr>
            <w:tcW w:type="dxa" w:w="493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提供云主机、公网和备案域名。</w:t>
            </w:r>
          </w:p>
        </w:tc>
      </w:tr>
      <w:tr>
        <w:tc>
          <w:tcPr>
            <w:tcW w:type="dxa" w:w="1531"/>
            <w:vAlign w:val="center"/>
            <w:vMerge/>
            <w:tcMar>
              <w:top w:w="45" w:type="dxa"/>
              <w:start w:w="55" w:type="dxa"/>
              <w:bottom w:w="45" w:type="dxa"/>
              <w:end w:w="55" w:type="dxa"/>
            </w:tcMar>
          </w:tcPr>
          <w:p/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Docker 29.6.1 / Compose v5.3.1</w:t>
            </w:r>
          </w:p>
        </w:tc>
        <w:tc>
          <w:tcPr>
            <w:tcW w:type="dxa" w:w="493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编排容器、网络、卷和自动重启。</w:t>
            </w:r>
          </w:p>
        </w:tc>
      </w:tr>
      <w:tr>
        <w:tc>
          <w:tcPr>
            <w:tcW w:type="dxa" w:w="1531"/>
            <w:vAlign w:val="center"/>
            <w:vMerge/>
            <w:tcMar>
              <w:top w:w="45" w:type="dxa"/>
              <w:start w:w="55" w:type="dxa"/>
              <w:bottom w:w="45" w:type="dxa"/>
              <w:end w:w="55" w:type="dxa"/>
            </w:tcMar>
          </w:tcPr>
          <w:p/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Caddy 2</w:t>
            </w:r>
          </w:p>
        </w:tc>
        <w:tc>
          <w:tcPr>
            <w:tcW w:type="dxa" w:w="493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提供 80/443、自动 HTTPS 和压缩。</w:t>
            </w:r>
          </w:p>
        </w:tc>
      </w:tr>
      <w:tr>
        <w:tc>
          <w:tcPr>
            <w:tcW w:type="dxa" w:w="1531"/>
            <w:vAlign w:val="center"/>
            <w:vMerge/>
            <w:tcMar>
              <w:top w:w="45" w:type="dxa"/>
              <w:start w:w="55" w:type="dxa"/>
              <w:bottom w:w="45" w:type="dxa"/>
              <w:end w:w="55" w:type="dxa"/>
            </w:tcMar>
          </w:tcPr>
          <w:p/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Node 20 + Frontend Nginx</w:t>
            </w:r>
          </w:p>
        </w:tc>
        <w:tc>
          <w:tcPr>
            <w:tcW w:type="dxa" w:w="493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完成前端构建、静态托管和 /api 代理。</w:t>
            </w:r>
          </w:p>
        </w:tc>
      </w:tr>
      <w:tr>
        <w:tc>
          <w:tcPr>
            <w:tcW w:type="dxa" w:w="1531"/>
            <w:vAlign w:val="center"/>
            <w:vMerge w:val="restart"/>
            <w:tcMar>
              <w:top w:w="45" w:type="dxa"/>
              <w:start w:w="55" w:type="dxa"/>
              <w:bottom w:w="45" w:type="dxa"/>
              <w:end w:w="55" w:type="dxa"/>
            </w:tcMar>
            <w:shd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仿宋_GB2312"/>
                <w:b w:val="0"/>
                <w:sz w:val="15"/>
              </w:rPr>
              <w:t>数据与检索层</w:t>
            </w:r>
          </w:p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SQLite / SQLAlchemy / aiosqlite / Named Volume</w:t>
            </w:r>
          </w:p>
        </w:tc>
        <w:tc>
          <w:tcPr>
            <w:tcW w:type="dxa" w:w="493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保存业务与向量数据，空卷首次播种。</w:t>
            </w:r>
          </w:p>
        </w:tc>
      </w:tr>
      <w:tr>
        <w:tc>
          <w:tcPr>
            <w:tcW w:type="dxa" w:w="1531"/>
            <w:vAlign w:val="center"/>
            <w:vMerge/>
            <w:tcMar>
              <w:top w:w="45" w:type="dxa"/>
              <w:start w:w="55" w:type="dxa"/>
              <w:bottom w:w="45" w:type="dxa"/>
              <w:end w:w="55" w:type="dxa"/>
            </w:tcMar>
          </w:tcPr>
          <w:p/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BM25 + 中英文分词</w:t>
            </w:r>
          </w:p>
        </w:tc>
        <w:tc>
          <w:tcPr>
            <w:tcW w:type="dxa" w:w="493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完成课程关键词召回。</w:t>
            </w:r>
          </w:p>
        </w:tc>
      </w:tr>
      <w:tr>
        <w:tc>
          <w:tcPr>
            <w:tcW w:type="dxa" w:w="1531"/>
            <w:vAlign w:val="center"/>
            <w:vMerge/>
            <w:tcMar>
              <w:top w:w="45" w:type="dxa"/>
              <w:start w:w="55" w:type="dxa"/>
              <w:bottom w:w="45" w:type="dxa"/>
              <w:end w:w="55" w:type="dxa"/>
            </w:tcMar>
          </w:tcPr>
          <w:p/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Qwen Embedding + RRF</w:t>
            </w:r>
          </w:p>
        </w:tc>
        <w:tc>
          <w:tcPr>
            <w:tcW w:type="dxa" w:w="493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融合语义召回与 BM25 排名。</w:t>
            </w:r>
          </w:p>
        </w:tc>
      </w:tr>
      <w:tr>
        <w:tc>
          <w:tcPr>
            <w:tcW w:type="dxa" w:w="1531"/>
            <w:vAlign w:val="center"/>
            <w:vMerge/>
            <w:tcMar>
              <w:top w:w="45" w:type="dxa"/>
              <w:start w:w="55" w:type="dxa"/>
              <w:bottom w:w="45" w:type="dxa"/>
              <w:end w:w="55" w:type="dxa"/>
            </w:tcMar>
          </w:tcPr>
          <w:p/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PostgreSQL / Redis / Chroma</w:t>
            </w:r>
          </w:p>
        </w:tc>
        <w:tc>
          <w:tcPr>
            <w:tcW w:type="dxa" w:w="493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extras 可选预留，主链路未启用。</w:t>
            </w:r>
          </w:p>
        </w:tc>
      </w:tr>
      <w:tr>
        <w:tc>
          <w:tcPr>
            <w:tcW w:type="dxa" w:w="1531"/>
            <w:vAlign w:val="center"/>
            <w:vMerge w:val="restart"/>
            <w:tcMar>
              <w:top w:w="45" w:type="dxa"/>
              <w:start w:w="55" w:type="dxa"/>
              <w:bottom w:w="45" w:type="dxa"/>
              <w:end w:w="55" w:type="dxa"/>
            </w:tcMar>
            <w:shd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仿宋_GB2312"/>
                <w:b w:val="0"/>
                <w:sz w:val="15"/>
              </w:rPr>
              <w:t>智能体与模型层</w:t>
            </w:r>
          </w:p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DeepSeek / 星火 / MiMo / Qwen / Qwen-VL</w:t>
            </w:r>
          </w:p>
        </w:tc>
        <w:tc>
          <w:tcPr>
            <w:tcW w:type="dxa" w:w="493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提供生成、助教、视觉和向量能力。</w:t>
            </w:r>
          </w:p>
        </w:tc>
      </w:tr>
      <w:tr>
        <w:tc>
          <w:tcPr>
            <w:tcW w:type="dxa" w:w="1531"/>
            <w:vAlign w:val="center"/>
            <w:vMerge/>
            <w:tcMar>
              <w:top w:w="45" w:type="dxa"/>
              <w:start w:w="55" w:type="dxa"/>
              <w:bottom w:w="45" w:type="dxa"/>
              <w:end w:w="55" w:type="dxa"/>
            </w:tcMar>
          </w:tcPr>
          <w:p/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并发编排 + 7 个资源 Agent</w:t>
            </w:r>
          </w:p>
        </w:tc>
        <w:tc>
          <w:tcPr>
            <w:tcW w:type="dxa" w:w="493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并发生成学习资源和路径。</w:t>
            </w:r>
          </w:p>
        </w:tc>
      </w:tr>
      <w:tr>
        <w:tc>
          <w:tcPr>
            <w:tcW w:type="dxa" w:w="1531"/>
            <w:vAlign w:val="center"/>
            <w:vMerge/>
            <w:tcMar>
              <w:top w:w="45" w:type="dxa"/>
              <w:start w:w="55" w:type="dxa"/>
              <w:bottom w:w="45" w:type="dxa"/>
              <w:end w:w="55" w:type="dxa"/>
            </w:tcMar>
          </w:tcPr>
          <w:p/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讯飞 ASR/TTS + 可选 CosyVoice</w:t>
            </w:r>
          </w:p>
        </w:tc>
        <w:tc>
          <w:tcPr>
            <w:tcW w:type="dxa" w:w="493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提供语音输入与多音色朗读。</w:t>
            </w:r>
          </w:p>
        </w:tc>
      </w:tr>
      <w:tr>
        <w:tc>
          <w:tcPr>
            <w:tcW w:type="dxa" w:w="1531"/>
            <w:vAlign w:val="center"/>
            <w:vMerge w:val="restart"/>
            <w:tcMar>
              <w:top w:w="45" w:type="dxa"/>
              <w:start w:w="55" w:type="dxa"/>
              <w:bottom w:w="45" w:type="dxa"/>
              <w:end w:w="55" w:type="dxa"/>
            </w:tcMar>
            <w:shd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仿宋_GB2312"/>
                <w:b w:val="0"/>
                <w:sz w:val="15"/>
              </w:rPr>
              <w:t>应用层（后端）</w:t>
            </w:r>
          </w:p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Python 3.11 + FastAPI 0.115 + Uvicorn 0.32</w:t>
            </w:r>
          </w:p>
        </w:tc>
        <w:tc>
          <w:tcPr>
            <w:tcW w:type="dxa" w:w="493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提供业务、AI、语音和代码 API。</w:t>
            </w:r>
          </w:p>
        </w:tc>
      </w:tr>
      <w:tr>
        <w:tc>
          <w:tcPr>
            <w:tcW w:type="dxa" w:w="1531"/>
            <w:vAlign w:val="center"/>
            <w:vMerge/>
            <w:tcMar>
              <w:top w:w="45" w:type="dxa"/>
              <w:start w:w="55" w:type="dxa"/>
              <w:bottom w:w="45" w:type="dxa"/>
              <w:end w:w="55" w:type="dxa"/>
            </w:tcMar>
          </w:tcPr>
          <w:p/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Pydantic + SSE-Starlette + HTTPX / OpenAI SDK</w:t>
            </w:r>
          </w:p>
        </w:tc>
        <w:tc>
          <w:tcPr>
            <w:tcW w:type="dxa" w:w="493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负责校验、流式事件和外部调用。</w:t>
            </w:r>
          </w:p>
        </w:tc>
      </w:tr>
      <w:tr>
        <w:tc>
          <w:tcPr>
            <w:tcW w:type="dxa" w:w="1531"/>
            <w:vAlign w:val="center"/>
            <w:vMerge/>
            <w:tcMar>
              <w:top w:w="45" w:type="dxa"/>
              <w:start w:w="55" w:type="dxa"/>
              <w:bottom w:w="45" w:type="dxa"/>
              <w:end w:w="55" w:type="dxa"/>
            </w:tcMar>
          </w:tcPr>
          <w:p/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pypdf + multipart + pwdlib / aiosmtplib</w:t>
            </w:r>
          </w:p>
        </w:tc>
        <w:tc>
          <w:tcPr>
            <w:tcW w:type="dxa" w:w="493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支持附件、认证和邮箱验证码。</w:t>
            </w:r>
          </w:p>
        </w:tc>
      </w:tr>
      <w:tr>
        <w:tc>
          <w:tcPr>
            <w:tcW w:type="dxa" w:w="1531"/>
            <w:vAlign w:val="center"/>
            <w:vMerge w:val="restart"/>
            <w:tcMar>
              <w:top w:w="45" w:type="dxa"/>
              <w:start w:w="55" w:type="dxa"/>
              <w:bottom w:w="45" w:type="dxa"/>
              <w:end w:w="55" w:type="dxa"/>
            </w:tcMar>
            <w:shd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仿宋_GB2312"/>
                <w:b w:val="0"/>
                <w:sz w:val="15"/>
              </w:rPr>
              <w:t>应用层（前端）</w:t>
            </w:r>
          </w:p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React 19.2.6 + TypeScript 6.0.2 + Vite 8.0.12</w:t>
            </w:r>
          </w:p>
        </w:tc>
        <w:tc>
          <w:tcPr>
            <w:tcW w:type="dxa" w:w="493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构建响应式单页应用。</w:t>
            </w:r>
          </w:p>
        </w:tc>
      </w:tr>
      <w:tr>
        <w:tc>
          <w:tcPr>
            <w:tcW w:type="dxa" w:w="1531"/>
            <w:vAlign w:val="center"/>
            <w:vMerge/>
            <w:tcMar>
              <w:top w:w="45" w:type="dxa"/>
              <w:start w:w="55" w:type="dxa"/>
              <w:bottom w:w="45" w:type="dxa"/>
              <w:end w:w="55" w:type="dxa"/>
            </w:tcMar>
          </w:tcPr>
          <w:p/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Tailwind + Framer Motion + Monaco</w:t>
            </w:r>
          </w:p>
        </w:tc>
        <w:tc>
          <w:tcPr>
            <w:tcW w:type="dxa" w:w="493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实现样式、动画和代码编辑。</w:t>
            </w:r>
          </w:p>
        </w:tc>
      </w:tr>
      <w:tr>
        <w:tc>
          <w:tcPr>
            <w:tcW w:type="dxa" w:w="1531"/>
            <w:vAlign w:val="center"/>
            <w:vMerge/>
            <w:tcMar>
              <w:top w:w="45" w:type="dxa"/>
              <w:start w:w="55" w:type="dxa"/>
              <w:bottom w:w="45" w:type="dxa"/>
              <w:end w:w="55" w:type="dxa"/>
            </w:tcMar>
          </w:tcPr>
          <w:p/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Markdown / KaTeX / Shiki / Markmap / XYFlow / Recharts</w:t>
            </w:r>
          </w:p>
        </w:tc>
        <w:tc>
          <w:tcPr>
            <w:tcW w:type="dxa" w:w="493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展示文档、公式、导图、路径和图表。</w:t>
            </w:r>
          </w:p>
        </w:tc>
      </w:tr>
      <w:tr>
        <w:tc>
          <w:tcPr>
            <w:tcW w:type="dxa" w:w="1531"/>
            <w:vAlign w:val="center"/>
            <w:vMerge w:val="restart"/>
            <w:tcMar>
              <w:top w:w="45" w:type="dxa"/>
              <w:start w:w="55" w:type="dxa"/>
              <w:bottom w:w="45" w:type="dxa"/>
              <w:end w:w="55" w:type="dxa"/>
            </w:tcMar>
            <w:shd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仿宋_GB2312"/>
                <w:b w:val="0"/>
                <w:sz w:val="15"/>
              </w:rPr>
              <w:t>代码沙箱层</w:t>
            </w:r>
          </w:p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Piston isolate</w:t>
            </w:r>
          </w:p>
        </w:tc>
        <w:tc>
          <w:tcPr>
            <w:tcW w:type="dxa" w:w="493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在 Docker 内网隔离执行代码。</w:t>
            </w:r>
          </w:p>
        </w:tc>
      </w:tr>
      <w:tr>
        <w:tc>
          <w:tcPr>
            <w:tcW w:type="dxa" w:w="1531"/>
            <w:vAlign w:val="center"/>
            <w:vMerge/>
            <w:tcMar>
              <w:top w:w="45" w:type="dxa"/>
              <w:start w:w="55" w:type="dxa"/>
              <w:bottom w:w="45" w:type="dxa"/>
              <w:end w:w="55" w:type="dxa"/>
            </w:tcMar>
          </w:tcPr>
          <w:p/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Python 3.10 / GCC 10.2 / scikit-learn 1.3.2</w:t>
            </w:r>
          </w:p>
        </w:tc>
        <w:tc>
          <w:tcPr>
            <w:tcW w:type="dxa" w:w="493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运行 Python、C11 和 C++17。</w:t>
            </w:r>
          </w:p>
        </w:tc>
      </w:tr>
      <w:t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用户层</w:t>
            </w:r>
          </w:p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PC / 手机 Web 浏览器</w:t>
            </w:r>
          </w:p>
        </w:tc>
        <w:tc>
          <w:tcPr>
            <w:tcW w:type="dxa" w:w="493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通过同一 HTTPS 域名访问。</w:t>
            </w:r>
          </w:p>
        </w:tc>
      </w:tr>
    </w:tbl>
    <w:p>
      <w:pPr>
        <w:spacing w:before="0" w:after="0" w:line="40" w:lineRule="exact"/>
      </w:pPr>
    </w:p>
    <w:p>
      <w:bookmarkStart w:id="8" w:name="toc_0007"/>
      <w:pPr>
        <w:pStyle w:val="Heading1"/>
      </w:pPr>
      <w:r>
        <w:rPr>
          <w:rFonts w:ascii="Times New Roman" w:hAnsi="Times New Roman" w:eastAsia="黑体"/>
          <w:b/>
          <w:sz w:val="34"/>
        </w:rPr>
        <w:t>3 环境要求</w:t>
      </w:r>
      <w:bookmarkEnd w:id="8"/>
    </w:p>
    <w:p>
      <w:bookmarkStart w:id="9" w:name="toc_0008"/>
      <w:pPr>
        <w:pStyle w:val="Heading2"/>
      </w:pPr>
      <w:r>
        <w:rPr>
          <w:rFonts w:ascii="Times New Roman" w:hAnsi="Times New Roman" w:eastAsia="黑体"/>
          <w:b/>
          <w:sz w:val="27"/>
        </w:rPr>
        <w:t>3.1 硬件配置</w:t>
      </w:r>
      <w:bookmarkEnd w:id="9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1597"/>
        <w:gridCol w:w="1597"/>
        <w:gridCol w:w="1597"/>
        <w:gridCol w:w="1597"/>
        <w:gridCol w:w="1597"/>
        <w:gridCol w:w="1597"/>
      </w:tblGrid>
      <w:tr>
        <w:trPr>
          <w:tblHeader w:val="true"/>
        </w:trPr>
        <w:tc>
          <w:tcPr>
            <w:tcW w:type="dxa" w:w="13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配置级别</w:t>
            </w:r>
          </w:p>
        </w:tc>
        <w:tc>
          <w:tcPr>
            <w:tcW w:type="dxa" w:w="113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CPU</w:t>
            </w:r>
          </w:p>
        </w:tc>
        <w:tc>
          <w:tcPr>
            <w:tcW w:type="dxa" w:w="113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内存</w:t>
            </w:r>
          </w:p>
        </w:tc>
        <w:tc>
          <w:tcPr>
            <w:tcW w:type="dxa" w:w="124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SSD</w:t>
            </w:r>
          </w:p>
        </w:tc>
        <w:tc>
          <w:tcPr>
            <w:tcW w:type="dxa" w:w="130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带宽</w:t>
            </w:r>
          </w:p>
        </w:tc>
        <w:tc>
          <w:tcPr>
            <w:tcW w:type="dxa" w:w="289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场景</w:t>
            </w:r>
          </w:p>
        </w:tc>
      </w:tr>
      <w:tr>
        <w:tc>
          <w:tcPr>
            <w:tcW w:type="dxa" w:w="13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最低</w:t>
            </w:r>
          </w:p>
        </w:tc>
        <w:tc>
          <w:tcPr>
            <w:tcW w:type="dxa" w:w="113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2 核</w:t>
            </w:r>
          </w:p>
        </w:tc>
        <w:tc>
          <w:tcPr>
            <w:tcW w:type="dxa" w:w="113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4GB</w:t>
            </w:r>
          </w:p>
        </w:tc>
        <w:tc>
          <w:tcPr>
            <w:tcW w:type="dxa" w:w="124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30GB</w:t>
            </w:r>
          </w:p>
        </w:tc>
        <w:tc>
          <w:tcPr>
            <w:tcW w:type="dxa" w:w="130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5Mbps</w:t>
            </w:r>
          </w:p>
        </w:tc>
        <w:tc>
          <w:tcPr>
            <w:tcW w:type="dxa" w:w="289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开发、功能测试和低并发演示</w:t>
            </w:r>
          </w:p>
        </w:tc>
      </w:tr>
      <w:tr>
        <w:tc>
          <w:tcPr>
            <w:tcW w:type="dxa" w:w="13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推荐</w:t>
            </w:r>
          </w:p>
        </w:tc>
        <w:tc>
          <w:tcPr>
            <w:tcW w:type="dxa" w:w="113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4 核</w:t>
            </w:r>
          </w:p>
        </w:tc>
        <w:tc>
          <w:tcPr>
            <w:tcW w:type="dxa" w:w="113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8GB</w:t>
            </w:r>
          </w:p>
        </w:tc>
        <w:tc>
          <w:tcPr>
            <w:tcW w:type="dxa" w:w="124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60GB</w:t>
            </w:r>
          </w:p>
        </w:tc>
        <w:tc>
          <w:tcPr>
            <w:tcW w:type="dxa" w:w="130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10Mbps</w:t>
            </w:r>
          </w:p>
        </w:tc>
        <w:tc>
          <w:tcPr>
            <w:tcW w:type="dxa" w:w="289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竞赛评委访问与小规模公网使用</w:t>
            </w:r>
          </w:p>
        </w:tc>
      </w:tr>
      <w:tr>
        <w:tc>
          <w:tcPr>
            <w:tcW w:type="dxa" w:w="13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当前</w:t>
            </w:r>
          </w:p>
        </w:tc>
        <w:tc>
          <w:tcPr>
            <w:tcW w:type="dxa" w:w="113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4 vCPU</w:t>
            </w:r>
          </w:p>
        </w:tc>
        <w:tc>
          <w:tcPr>
            <w:tcW w:type="dxa" w:w="113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7.1GiB</w:t>
            </w:r>
          </w:p>
        </w:tc>
        <w:tc>
          <w:tcPr>
            <w:tcW w:type="dxa" w:w="124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59GB</w:t>
            </w:r>
          </w:p>
        </w:tc>
        <w:tc>
          <w:tcPr>
            <w:tcW w:type="dxa" w:w="130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公网带宽</w:t>
            </w:r>
          </w:p>
        </w:tc>
        <w:tc>
          <w:tcPr>
            <w:tcW w:type="dxa" w:w="289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已部署，系统盘约 43GB 可用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当前配置满足竞赛展示与小规模公网访问。</w:t>
      </w:r>
    </w:p>
    <w:p>
      <w:bookmarkStart w:id="10" w:name="toc_0009"/>
      <w:pPr>
        <w:pStyle w:val="Heading2"/>
      </w:pPr>
      <w:r>
        <w:rPr>
          <w:rFonts w:ascii="Times New Roman" w:hAnsi="Times New Roman" w:eastAsia="黑体"/>
          <w:b/>
          <w:sz w:val="27"/>
        </w:rPr>
        <w:t>3.2 软件环境</w:t>
      </w:r>
      <w:bookmarkEnd w:id="10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194"/>
        <w:gridCol w:w="3194"/>
        <w:gridCol w:w="3194"/>
      </w:tblGrid>
      <w:tr>
        <w:trPr>
          <w:tblHeader w:val="true"/>
        </w:trPr>
        <w:tc>
          <w:tcPr>
            <w:tcW w:type="dxa" w:w="204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软件/组件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版本/位置</w:t>
            </w:r>
          </w:p>
        </w:tc>
        <w:tc>
          <w:tcPr>
            <w:tcW w:type="dxa" w:w="430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作用</w:t>
            </w:r>
          </w:p>
        </w:tc>
      </w:tr>
      <w:tr>
        <w:tc>
          <w:tcPr>
            <w:tcW w:type="dxa" w:w="204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Ubuntu Server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22.04.5 / 宿主机</w:t>
            </w:r>
          </w:p>
        </w:tc>
        <w:tc>
          <w:tcPr>
            <w:tcW w:type="dxa" w:w="430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提供 Docker、SSH 和防火墙环境。</w:t>
            </w:r>
          </w:p>
        </w:tc>
      </w:tr>
      <w:tr>
        <w:tc>
          <w:tcPr>
            <w:tcW w:type="dxa" w:w="204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Docker + Compose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29.6.1 / v5.3.1 / 宿主机</w:t>
            </w:r>
          </w:p>
        </w:tc>
        <w:tc>
          <w:tcPr>
            <w:tcW w:type="dxa" w:w="430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管理镜像、容器、网络、卷和重启。</w:t>
            </w:r>
          </w:p>
        </w:tc>
      </w:tr>
      <w:tr>
        <w:tc>
          <w:tcPr>
            <w:tcW w:type="dxa" w:w="204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Caddy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2.x / caddy 容器</w:t>
            </w:r>
          </w:p>
        </w:tc>
        <w:tc>
          <w:tcPr>
            <w:tcW w:type="dxa" w:w="430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提供公网 HTTPS、跳转和代理。</w:t>
            </w:r>
          </w:p>
        </w:tc>
      </w:tr>
      <w:tr>
        <w:tc>
          <w:tcPr>
            <w:tcW w:type="dxa" w:w="204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Nginx + Node/Vite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alpine、20 / frontend</w:t>
            </w:r>
          </w:p>
        </w:tc>
        <w:tc>
          <w:tcPr>
            <w:tcW w:type="dxa" w:w="430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构建并托管前端，代理 /api/SSE。</w:t>
            </w:r>
          </w:p>
        </w:tc>
      </w:tr>
      <w:tr>
        <w:tc>
          <w:tcPr>
            <w:tcW w:type="dxa" w:w="204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Python/FastAPI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3.11 / 0.115 / backend</w:t>
            </w:r>
          </w:p>
        </w:tc>
        <w:tc>
          <w:tcPr>
            <w:tcW w:type="dxa" w:w="430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由 Uvicorn 运行后端 ASGI 服务。</w:t>
            </w:r>
          </w:p>
        </w:tc>
      </w:tr>
      <w:tr>
        <w:tc>
          <w:tcPr>
            <w:tcW w:type="dxa" w:w="204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SQLite/SQLAlchemy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2.0.36 / backend_data</w:t>
            </w:r>
          </w:p>
        </w:tc>
        <w:tc>
          <w:tcPr>
            <w:tcW w:type="dxa" w:w="430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持久化业务与向量数据。</w:t>
            </w:r>
          </w:p>
        </w:tc>
      </w:tr>
      <w:tr>
        <w:tc>
          <w:tcPr>
            <w:tcW w:type="dxa" w:w="204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Piston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latest / piston-api</w:t>
            </w:r>
          </w:p>
        </w:tc>
        <w:tc>
          <w:tcPr>
            <w:tcW w:type="dxa" w:w="430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隔离运行 Python、C 和 C++。</w:t>
            </w:r>
          </w:p>
        </w:tc>
      </w:tr>
      <w:tr>
        <w:tc>
          <w:tcPr>
            <w:tcW w:type="dxa" w:w="204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维护工具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Git/Rsync/Curl/Skopeo/UFW / 宿主机</w:t>
            </w:r>
          </w:p>
        </w:tc>
        <w:tc>
          <w:tcPr>
            <w:tcW w:type="dxa" w:w="430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上传、检查、镜像导入和防火墙维护。</w:t>
            </w:r>
          </w:p>
        </w:tc>
      </w:tr>
      <w:tr>
        <w:tc>
          <w:tcPr>
            <w:tcW w:type="dxa" w:w="204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浏览器/DNS/CA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现代浏览器 / 公网</w:t>
            </w:r>
          </w:p>
        </w:tc>
        <w:tc>
          <w:tcPr>
            <w:tcW w:type="dxa" w:w="430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通过正式域名和可信证书访问。</w:t>
            </w:r>
          </w:p>
        </w:tc>
      </w:tr>
    </w:tbl>
    <w:p>
      <w:pPr>
        <w:spacing w:before="0" w:after="0" w:line="40" w:lineRule="exact"/>
      </w:pPr>
    </w:p>
    <w:p>
      <w:bookmarkStart w:id="11" w:name="toc_0010"/>
      <w:pPr>
        <w:pStyle w:val="Heading2"/>
      </w:pPr>
      <w:r>
        <w:rPr>
          <w:rFonts w:ascii="Times New Roman" w:hAnsi="Times New Roman" w:eastAsia="黑体"/>
          <w:b/>
          <w:sz w:val="27"/>
        </w:rPr>
        <w:t>3.3 网络与端口</w:t>
      </w:r>
      <w:bookmarkEnd w:id="11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2395"/>
        <w:gridCol w:w="2395"/>
        <w:gridCol w:w="2395"/>
        <w:gridCol w:w="2395"/>
      </w:tblGrid>
      <w:tr>
        <w:trPr>
          <w:tblHeader w:val="true"/>
        </w:trP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范围</w:t>
            </w:r>
          </w:p>
        </w:tc>
        <w:tc>
          <w:tcPr>
            <w:tcW w:type="dxa" w:w="198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端口/网络</w:t>
            </w:r>
          </w:p>
        </w:tc>
        <w:tc>
          <w:tcPr>
            <w:tcW w:type="dxa" w:w="311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用途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访问策略</w:t>
            </w:r>
          </w:p>
        </w:tc>
      </w:tr>
      <w:t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SSH</w:t>
            </w:r>
          </w:p>
        </w:tc>
        <w:tc>
          <w:tcPr>
            <w:tcW w:type="dxa" w:w="198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22/TCP</w:t>
            </w:r>
          </w:p>
        </w:tc>
        <w:tc>
          <w:tcPr>
            <w:tcW w:type="dxa" w:w="311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远程维护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仅可信来源</w:t>
            </w:r>
          </w:p>
        </w:tc>
      </w:tr>
      <w:t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公网 Web</w:t>
            </w:r>
          </w:p>
        </w:tc>
        <w:tc>
          <w:tcPr>
            <w:tcW w:type="dxa" w:w="198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80/443</w:t>
            </w:r>
          </w:p>
        </w:tc>
        <w:tc>
          <w:tcPr>
            <w:tcW w:type="dxa" w:w="311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ACME、跳转和 HTTPS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公网开放</w:t>
            </w:r>
          </w:p>
        </w:tc>
      </w:tr>
      <w:t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宿主回环</w:t>
            </w:r>
          </w:p>
        </w:tc>
        <w:tc>
          <w:tcPr>
            <w:tcW w:type="dxa" w:w="198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5173/8000/2000</w:t>
            </w:r>
          </w:p>
        </w:tc>
        <w:tc>
          <w:tcPr>
            <w:tcW w:type="dxa" w:w="311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前端、后端和 Piston 排障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仅 127.0.0.1</w:t>
            </w:r>
          </w:p>
        </w:tc>
      </w:tr>
      <w:t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容器内网</w:t>
            </w:r>
          </w:p>
        </w:tc>
        <w:tc>
          <w:tcPr>
            <w:tcW w:type="dxa" w:w="198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192.168.242.0/24</w:t>
            </w:r>
          </w:p>
        </w:tc>
        <w:tc>
          <w:tcPr>
            <w:tcW w:type="dxa" w:w="311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核心服务通过名称互访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不经公网</w:t>
            </w:r>
          </w:p>
        </w:tc>
      </w:tr>
      <w:t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出站</w:t>
            </w:r>
          </w:p>
        </w:tc>
        <w:tc>
          <w:tcPr>
            <w:tcW w:type="dxa" w:w="198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DNS/80/443</w:t>
            </w:r>
          </w:p>
        </w:tc>
        <w:tc>
          <w:tcPr>
            <w:tcW w:type="dxa" w:w="311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镜像、证书、模型和公开资源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按需允许</w:t>
            </w:r>
          </w:p>
        </w:tc>
      </w:tr>
    </w:tbl>
    <w:p>
      <w:pPr>
        <w:spacing w:before="0" w:after="0" w:line="40" w:lineRule="exact"/>
      </w:pPr>
    </w:p>
    <w:p>
      <w:bookmarkStart w:id="12" w:name="toc_0011"/>
      <w:pPr>
        <w:pStyle w:val="Heading2"/>
      </w:pPr>
      <w:r>
        <w:rPr>
          <w:rFonts w:ascii="Times New Roman" w:hAnsi="Times New Roman" w:eastAsia="黑体"/>
          <w:b/>
          <w:sz w:val="27"/>
        </w:rPr>
        <w:t>3.4 容量与资源水位</w:t>
      </w:r>
      <w:bookmarkEnd w:id="12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194"/>
        <w:gridCol w:w="3194"/>
        <w:gridCol w:w="3194"/>
      </w:tblGrid>
      <w:tr>
        <w:trPr>
          <w:tblHeader w:val="true"/>
        </w:trPr>
        <w:tc>
          <w:tcPr>
            <w:tcW w:type="dxa" w:w="192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对象</w:t>
            </w:r>
          </w:p>
        </w:tc>
        <w:tc>
          <w:tcPr>
            <w:tcW w:type="dxa" w:w="357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关注信号</w:t>
            </w:r>
          </w:p>
        </w:tc>
        <w:tc>
          <w:tcPr>
            <w:tcW w:type="dxa" w:w="334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处理原则</w:t>
            </w:r>
          </w:p>
        </w:tc>
      </w:tr>
      <w:tr>
        <w:tc>
          <w:tcPr>
            <w:tcW w:type="dxa" w:w="192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CPU/内存</w:t>
            </w:r>
          </w:p>
        </w:tc>
        <w:tc>
          <w:tcPr>
            <w:tcW w:type="dxa" w:w="357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持续高占用、OOM、容器反复重启</w:t>
            </w:r>
          </w:p>
        </w:tc>
        <w:tc>
          <w:tcPr>
            <w:tcW w:type="dxa" w:w="334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区分后端与沙箱负载，保留资源上限后再扩容。</w:t>
            </w:r>
          </w:p>
        </w:tc>
      </w:tr>
      <w:tr>
        <w:tc>
          <w:tcPr>
            <w:tcW w:type="dxa" w:w="192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磁盘</w:t>
            </w:r>
          </w:p>
        </w:tc>
        <w:tc>
          <w:tcPr>
            <w:tcW w:type="dxa" w:w="357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镜像、日志、上传、SQLite 和备份持续增长</w:t>
            </w:r>
          </w:p>
        </w:tc>
        <w:tc>
          <w:tcPr>
            <w:tcW w:type="dxa" w:w="334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清理前先列出对象，优先转移备份，禁止自动破坏性 prune。</w:t>
            </w:r>
          </w:p>
        </w:tc>
      </w:tr>
      <w:tr>
        <w:tc>
          <w:tcPr>
            <w:tcW w:type="dxa" w:w="192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SQLite</w:t>
            </w:r>
          </w:p>
        </w:tc>
        <w:tc>
          <w:tcPr>
            <w:tcW w:type="dxa" w:w="357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写锁频发、文件快速增长或完整性异常</w:t>
            </w:r>
          </w:p>
        </w:tc>
        <w:tc>
          <w:tcPr>
            <w:tcW w:type="dxa" w:w="334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先优化事务和写入；超过单机边界后评估外置数据库。</w:t>
            </w:r>
          </w:p>
        </w:tc>
      </w:tr>
      <w:tr>
        <w:tc>
          <w:tcPr>
            <w:tcW w:type="dxa" w:w="192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外部网络</w:t>
            </w:r>
          </w:p>
        </w:tc>
        <w:tc>
          <w:tcPr>
            <w:tcW w:type="dxa" w:w="357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证书、镜像、模型或语音接口超时</w:t>
            </w:r>
          </w:p>
        </w:tc>
        <w:tc>
          <w:tcPr>
            <w:tcW w:type="dxa" w:w="334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按域名与能力分层定位，不把第三方故障当作数据故障。</w:t>
            </w:r>
          </w:p>
        </w:tc>
      </w:tr>
    </w:tbl>
    <w:p>
      <w:pPr>
        <w:spacing w:before="0" w:after="0" w:line="40" w:lineRule="exact"/>
      </w:pPr>
    </w:p>
    <w:p>
      <w:bookmarkStart w:id="13" w:name="toc_0012"/>
      <w:pPr>
        <w:pStyle w:val="Heading1"/>
      </w:pPr>
      <w:r>
        <w:rPr>
          <w:rFonts w:ascii="Times New Roman" w:hAnsi="Times New Roman" w:eastAsia="黑体"/>
          <w:b/>
          <w:sz w:val="34"/>
        </w:rPr>
        <w:t>4 部署流程</w:t>
      </w:r>
      <w:bookmarkEnd w:id="13"/>
    </w:p>
    <w:p>
      <w:bookmarkStart w:id="14" w:name="toc_0013"/>
      <w:pPr>
        <w:pStyle w:val="Heading2"/>
      </w:pPr>
      <w:r>
        <w:rPr>
          <w:rFonts w:ascii="Times New Roman" w:hAnsi="Times New Roman" w:eastAsia="黑体"/>
          <w:b/>
          <w:sz w:val="27"/>
        </w:rPr>
        <w:t>4.1 部署准备</w:t>
      </w:r>
      <w:bookmarkEnd w:id="14"/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9"/>
        </w:rPr>
        <w:t>• 准备 Ubuntu 22.04 服务器和 deploy 用户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9"/>
        </w:rPr>
        <w:t>• 确认域名解析及 22/80/443 规则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9"/>
        </w:rPr>
        <w:t>• 准备项目、脱敏种子库和服务器环境变量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9"/>
        </w:rPr>
        <w:t>• 真实密钥仅保存在服务器，文件权限设为 600</w:t>
      </w: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Uvicorn、Docker restart/Compose、SQLite 命名卷以及 Caddy + Nginx 分别承担应用运行、进程恢复、数据持久化和公网代理，宿主机无需另装业务运行时。</w:t>
      </w: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部署前确认镜像源可用、生产 Profile 已启用，Compose 配置和压缩种子库校验通过。</w:t>
      </w: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同时应准备可恢复的数据备份并确认端口边界，避免在缺少回滚点或公网规则不明确时直接上线。</w:t>
      </w:r>
    </w:p>
    <w:p>
      <w:bookmarkStart w:id="15" w:name="toc_0014"/>
      <w:pPr>
        <w:pStyle w:val="Heading2"/>
      </w:pPr>
      <w:r>
        <w:rPr>
          <w:rFonts w:ascii="Times New Roman" w:hAnsi="Times New Roman" w:eastAsia="黑体"/>
          <w:b/>
          <w:sz w:val="27"/>
        </w:rPr>
        <w:t>4.2 详细部署步骤</w:t>
      </w:r>
      <w:bookmarkEnd w:id="15"/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步骤一：以 root/云助手安装 Docker、Compose、Skopeo 和 UFW，完成后重新登录 SSH：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581"/>
      </w:tblGrid>
      <w:tr>
        <w:tc>
          <w:tcPr>
            <w:tcW w:type="dxa" w:w="9581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4"/>
              </w:rPr>
              <w:t>DEPLOY_USER=deploy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 xml:space="preserve"> bash /home/deploy/studymate-bootstrap.sh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docker --version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docker compose version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确认 Docker 为 active、deploy 属于 docker 组；下载失败时按 Docker Hub、GHCR 或依赖源分别排查。</w:t>
      </w: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步骤二：生成脱敏 Docker 种子，保留 34 个账号、5 门课程和 938 个知识块/向量：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581"/>
      </w:tblGrid>
      <w:tr>
        <w:tc>
          <w:tcPr>
            <w:tcW w:type="dxa" w:w="9581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4"/>
              </w:rPr>
              <w:t>cd studymate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python3 scripts/build_seed_db.py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gzip -t backend/resources/seed/studymate.db.gz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确认数量正确、integrity_check=ok、foreign_key_check=0，且本地运行库未被修改。</w:t>
      </w: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步骤三：上传项目，并排除环境变量、本地数据库、依赖、日志和备份：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581"/>
      </w:tblGrid>
      <w:tr>
        <w:tc>
          <w:tcPr>
            <w:tcW w:type="dxa" w:w="9581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4"/>
              </w:rPr>
              <w:t>rsync -az --delete --progress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 xml:space="preserve"> --exclude '.git/'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 xml:space="preserve"> --exclude 'frontend/node_modules/'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 xml:space="preserve"> --exclude 'backend/.venv/'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 xml:space="preserve"> --exclude 'backend/.env'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 xml:space="preserve"> --exclude 'backend/studymate.db'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 xml:space="preserve"> --exclude '.deploy.env'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 xml:space="preserve"> --exclude 'backups/' --exclude '*.log'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 xml:space="preserve"> ./studymate/ studymate-server:~/studymate/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上传后确认 Compose、Caddyfile、部署脚本和压缩种子存在，服务器环境变量与备份未被覆盖。</w:t>
      </w: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步骤四：配置 .deploy.env 与 backend/.env，真实值仅保存在服务器：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581"/>
      </w:tblGrid>
      <w:tr>
        <w:tc>
          <w:tcPr>
            <w:tcW w:type="dxa" w:w="9581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4"/>
              </w:rPr>
              <w:t>COMPOSE_PROFILES=public,code-runner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SITE_ADDRESS=matropic.cn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CORS_ORIGINS=https://matropic.cn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SESSION_COOKIE_SECURE=true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chmod 600 backend/.env .deploy.env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5" w:space="0" w:color="BFBFBF"/>
          <w:left w:val="single" w:sz="5" w:space="0" w:color="BFBFBF"/>
          <w:bottom w:val="single" w:sz="5" w:space="0" w:color="BFBFBF"/>
          <w:right w:val="single" w:sz="5" w:space="0" w:color="BFBFBF"/>
          <w:insideH w:val="single" w:sz="5" w:space="0" w:color="BFBFBF"/>
          <w:insideV w:val="single" w:sz="5" w:space="0" w:color="BFBFBF"/>
        </w:tblBorders>
      </w:tblPr>
      <w:tblGrid>
        <w:gridCol w:w="9581"/>
      </w:tblGrid>
      <w:tr>
        <w:tc>
          <w:tcPr>
            <w:tcW w:type="dxa" w:w="9581"/>
            <w:shd w:fill="F2F2F2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Times New Roman" w:hAnsi="Times New Roman" w:eastAsia="黑体"/>
                <w:b/>
                <w:sz w:val="19"/>
              </w:rPr>
              <w:t>配置边界：</w:t>
            </w:r>
            <w:r>
              <w:rPr>
                <w:rFonts w:ascii="Times New Roman" w:hAnsi="Times New Roman" w:eastAsia="仿宋_GB2312"/>
                <w:b w:val="0"/>
                <w:sz w:val="19"/>
              </w:rPr>
              <w:t>真实模型、语音、邮件和认证密钥不得进入文档、截图、Git 或镜像。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步骤五：GHCR 受限时导入 Piston，并初始化 Python/GCC runtime：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581"/>
      </w:tblGrid>
      <w:tr>
        <w:tc>
          <w:tcPr>
            <w:tcW w:type="dxa" w:w="9581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4"/>
              </w:rPr>
              <w:t>cd ~/studymate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bash scripts/import-piston-image.sh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Piston 运行时保存在 piston_data，后续更新无需重复下载。</w:t>
      </w: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步骤六：一键构建、启动核心服务并初始化运行时：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581"/>
      </w:tblGrid>
      <w:tr>
        <w:tc>
          <w:tcPr>
            <w:tcW w:type="dxa" w:w="9581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4"/>
              </w:rPr>
              <w:t>cd ~/studymate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bash scripts/deploy.sh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docker compose --env-file .deploy.env config --quiet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步骤七：检查服务、HTTPS、API 与运行时：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581"/>
      </w:tblGrid>
      <w:tr>
        <w:tc>
          <w:tcPr>
            <w:tcW w:type="dxa" w:w="9581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4"/>
              </w:rPr>
              <w:t>bash scripts/deploy.sh status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curl -I https://matropic.cn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curl https://matropic.cn/api/ping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curl http://127.0.0.1:2000/api/v2/runtimes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ss -lntp | grep -E ':(80|443|2000|5173|8000)'</w:t>
            </w:r>
          </w:p>
        </w:tc>
      </w:tr>
    </w:tbl>
    <w:p>
      <w:pPr>
        <w:spacing w:before="0" w:after="0" w:line="40" w:lineRule="exact"/>
      </w:pPr>
    </w:p>
    <w:p>
      <w:bookmarkStart w:id="16" w:name="toc_0015"/>
      <w:pPr>
        <w:pStyle w:val="Heading2"/>
      </w:pPr>
      <w:r>
        <w:rPr>
          <w:rFonts w:ascii="Times New Roman" w:hAnsi="Times New Roman" w:eastAsia="黑体"/>
          <w:b/>
          <w:sz w:val="27"/>
        </w:rPr>
        <w:t>4.3 部署完成与访问确认</w:t>
      </w:r>
      <w:bookmarkEnd w:id="16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2395"/>
        <w:gridCol w:w="2395"/>
        <w:gridCol w:w="2395"/>
        <w:gridCol w:w="2395"/>
      </w:tblGrid>
      <w:tr>
        <w:trPr>
          <w:tblHeader w:val="true"/>
        </w:trP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验收对象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检查方法</w:t>
            </w:r>
          </w:p>
        </w:tc>
        <w:tc>
          <w:tcPr>
            <w:tcW w:type="dxa" w:w="311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成功标志</w:t>
            </w:r>
          </w:p>
        </w:tc>
        <w:tc>
          <w:tcPr>
            <w:tcW w:type="dxa" w:w="209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实测</w:t>
            </w:r>
          </w:p>
        </w:tc>
      </w:tr>
      <w:t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域名与 HTTPS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getent、curl、外网浏览器</w:t>
            </w:r>
          </w:p>
        </w:tc>
        <w:tc>
          <w:tcPr>
            <w:tcW w:type="dxa" w:w="311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解析正确，HTTP 跳转，HTTPS 200</w:t>
            </w:r>
          </w:p>
        </w:tc>
        <w:tc>
          <w:tcPr>
            <w:tcW w:type="dxa" w:w="209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通过</w:t>
            </w:r>
          </w:p>
        </w:tc>
      </w:tr>
      <w:t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核心容器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compose ps</w:t>
            </w:r>
          </w:p>
        </w:tc>
        <w:tc>
          <w:tcPr>
            <w:tcW w:type="dxa" w:w="311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前后端 healthy，网关/沙箱运行</w:t>
            </w:r>
          </w:p>
        </w:tc>
        <w:tc>
          <w:tcPr>
            <w:tcW w:type="dxa" w:w="209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通过</w:t>
            </w:r>
          </w:p>
        </w:tc>
      </w:tr>
      <w:t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端口边界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ss、安全组、UFW</w:t>
            </w:r>
          </w:p>
        </w:tc>
        <w:tc>
          <w:tcPr>
            <w:tcW w:type="dxa" w:w="311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仅 80/443 公网</w:t>
            </w:r>
          </w:p>
        </w:tc>
        <w:tc>
          <w:tcPr>
            <w:tcW w:type="dxa" w:w="209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通过</w:t>
            </w:r>
          </w:p>
        </w:tc>
      </w:tr>
      <w:t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数据完整性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数量、integrity/FK</w:t>
            </w:r>
          </w:p>
        </w:tc>
        <w:tc>
          <w:tcPr>
            <w:tcW w:type="dxa" w:w="311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34 个种子账号、5 门课、938 块/向量</w:t>
            </w:r>
          </w:p>
        </w:tc>
        <w:tc>
          <w:tcPr>
            <w:tcW w:type="dxa" w:w="209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线上 38 用户</w:t>
            </w:r>
          </w:p>
        </w:tc>
      </w:tr>
      <w:t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角色与会话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三类账号登录</w:t>
            </w:r>
          </w:p>
        </w:tc>
        <w:tc>
          <w:tcPr>
            <w:tcW w:type="dxa" w:w="311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权限分离，登录与退出正常</w:t>
            </w:r>
          </w:p>
        </w:tc>
        <w:tc>
          <w:tcPr>
            <w:tcW w:type="dxa" w:w="209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通过</w:t>
            </w:r>
          </w:p>
        </w:tc>
      </w:tr>
      <w:t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RAG 与 AI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课程问答、SSE</w:t>
            </w:r>
          </w:p>
        </w:tc>
        <w:tc>
          <w:tcPr>
            <w:tcW w:type="dxa" w:w="311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引用正确，流式事件完整</w:t>
            </w:r>
          </w:p>
        </w:tc>
        <w:tc>
          <w:tcPr>
            <w:tcW w:type="dxa" w:w="209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通过</w:t>
            </w:r>
          </w:p>
        </w:tc>
      </w:tr>
      <w:t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附件/语音/代码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文件、录音、Python/C/C++</w:t>
            </w:r>
          </w:p>
        </w:tc>
        <w:tc>
          <w:tcPr>
            <w:tcW w:type="dxa" w:w="311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解析、ASR/TTS 和运行正常</w:t>
            </w:r>
          </w:p>
        </w:tc>
        <w:tc>
          <w:tcPr>
            <w:tcW w:type="dxa" w:w="209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通过</w:t>
            </w:r>
          </w:p>
        </w:tc>
      </w:tr>
      <w:t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备案与移动端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PC/手机外网访问</w:t>
            </w:r>
          </w:p>
        </w:tc>
        <w:tc>
          <w:tcPr>
            <w:tcW w:type="dxa" w:w="311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备案可见，页面响应式可用</w:t>
            </w:r>
          </w:p>
        </w:tc>
        <w:tc>
          <w:tcPr>
            <w:tcW w:type="dxa" w:w="209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通过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Caddy 自动申请并续期正式证书；最终应从服务器外部网络完成角色、课程、AI、附件、语音、代码和备案验收。</w:t>
      </w: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验收记录应与本次代码版本和数据库备份对应，便于后续复现问题或执行回滚。</w:t>
      </w:r>
    </w:p>
    <w:p>
      <w:bookmarkStart w:id="17" w:name="toc_0016"/>
      <w:pPr>
        <w:pStyle w:val="Heading2"/>
      </w:pPr>
      <w:r>
        <w:rPr>
          <w:rFonts w:ascii="Times New Roman" w:hAnsi="Times New Roman" w:eastAsia="黑体"/>
          <w:b/>
          <w:sz w:val="27"/>
        </w:rPr>
        <w:t>4.4 上线判断与变更边界</w:t>
      </w:r>
      <w:bookmarkEnd w:id="17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194"/>
        <w:gridCol w:w="3194"/>
        <w:gridCol w:w="3194"/>
      </w:tblGrid>
      <w:tr>
        <w:trPr>
          <w:tblHeader w:val="true"/>
        </w:trP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变更类型</w:t>
            </w:r>
          </w:p>
        </w:tc>
        <w:tc>
          <w:tcPr>
            <w:tcW w:type="dxa" w:w="45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上线前置与必测项</w:t>
            </w:r>
          </w:p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回滚对象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仅前端</w:t>
            </w:r>
          </w:p>
        </w:tc>
        <w:tc>
          <w:tcPr>
            <w:tcW w:type="dxa" w:w="45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生产构建通过，复测首页、登录、/api、移动端和关键交互。</w:t>
            </w:r>
          </w:p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上一版 frontend 镜像。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应用或配置</w:t>
            </w:r>
          </w:p>
        </w:tc>
        <w:tc>
          <w:tcPr>
            <w:tcW w:type="dxa" w:w="45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先备份数据库，校验 Compose，复测健康、权限、SSE 和受影响能力。</w:t>
            </w:r>
          </w:p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后端/网关镜像及上一版配置。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数据或结构</w:t>
            </w:r>
          </w:p>
        </w:tc>
        <w:tc>
          <w:tcPr>
            <w:tcW w:type="dxa" w:w="45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必须有显式迁移、备份副本验证、完整性/外键检查和恢复演练。</w:t>
            </w:r>
          </w:p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迁移与应用版本；必要时独立恢复数据。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5" w:space="0" w:color="BFBFBF"/>
          <w:left w:val="single" w:sz="5" w:space="0" w:color="BFBFBF"/>
          <w:bottom w:val="single" w:sz="5" w:space="0" w:color="BFBFBF"/>
          <w:right w:val="single" w:sz="5" w:space="0" w:color="BFBFBF"/>
          <w:insideH w:val="single" w:sz="5" w:space="0" w:color="BFBFBF"/>
          <w:insideV w:val="single" w:sz="5" w:space="0" w:color="BFBFBF"/>
        </w:tblBorders>
      </w:tblPr>
      <w:tblGrid>
        <w:gridCol w:w="9581"/>
      </w:tblGrid>
      <w:tr>
        <w:tc>
          <w:tcPr>
            <w:tcW w:type="dxa" w:w="9581"/>
            <w:shd w:fill="F2F2F2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Times New Roman" w:hAnsi="Times New Roman" w:eastAsia="黑体"/>
                <w:b/>
                <w:sz w:val="19"/>
              </w:rPr>
              <w:t>上线门禁：</w:t>
            </w:r>
            <w:r>
              <w:rPr>
                <w:rFonts w:ascii="Times New Roman" w:hAnsi="Times New Roman" w:eastAsia="仿宋_GB2312"/>
                <w:b w:val="0"/>
                <w:sz w:val="19"/>
              </w:rPr>
              <w:t>缺少可恢复备份、核心容器不健康、数据库异常、权限失效或真实主链路只能返回 mock 时，不得标记为上线完成。</w:t>
            </w:r>
          </w:p>
        </w:tc>
      </w:tr>
    </w:tbl>
    <w:p>
      <w:pPr>
        <w:spacing w:before="0" w:after="0" w:line="40" w:lineRule="exact"/>
      </w:pPr>
    </w:p>
    <w:p>
      <w:bookmarkStart w:id="18" w:name="toc_0017"/>
      <w:pPr>
        <w:pStyle w:val="Heading2"/>
      </w:pPr>
      <w:r>
        <w:rPr>
          <w:rFonts w:ascii="Times New Roman" w:hAnsi="Times New Roman" w:eastAsia="黑体"/>
          <w:b/>
          <w:sz w:val="27"/>
        </w:rPr>
        <w:t>4.5 配置分级与能力降级</w:t>
      </w:r>
      <w:bookmarkEnd w:id="18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194"/>
        <w:gridCol w:w="3194"/>
        <w:gridCol w:w="3194"/>
      </w:tblGrid>
      <w:tr>
        <w:trPr>
          <w:tblHeader w:val="true"/>
        </w:trPr>
        <w:tc>
          <w:tcPr>
            <w:tcW w:type="dxa" w:w="209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配置类别</w:t>
            </w:r>
          </w:p>
        </w:tc>
        <w:tc>
          <w:tcPr>
            <w:tcW w:type="dxa" w:w="340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影响范围</w:t>
            </w:r>
          </w:p>
        </w:tc>
        <w:tc>
          <w:tcPr>
            <w:tcW w:type="dxa" w:w="334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上线要求</w:t>
            </w:r>
          </w:p>
        </w:tc>
      </w:tr>
      <w:tr>
        <w:tc>
          <w:tcPr>
            <w:tcW w:type="dxa" w:w="209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入口与认证</w:t>
            </w:r>
          </w:p>
        </w:tc>
        <w:tc>
          <w:tcPr>
            <w:tcW w:type="dxa" w:w="340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域名、HTTPS、CORS、会话和全部登录用户</w:t>
            </w:r>
          </w:p>
        </w:tc>
        <w:tc>
          <w:tcPr>
            <w:tcW w:type="dxa" w:w="334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错误时阻断上线，必须完成登录和 Cookie 验收。</w:t>
            </w:r>
          </w:p>
        </w:tc>
      </w:tr>
      <w:tr>
        <w:tc>
          <w:tcPr>
            <w:tcW w:type="dxa" w:w="209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数据与种子</w:t>
            </w:r>
          </w:p>
        </w:tc>
        <w:tc>
          <w:tcPr>
            <w:tcW w:type="dxa" w:w="340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后端启动、线上业务数据和空卷初始化</w:t>
            </w:r>
          </w:p>
        </w:tc>
        <w:tc>
          <w:tcPr>
            <w:tcW w:type="dxa" w:w="334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核对卷、数量、完整性和外键，不允许隐式覆盖。</w:t>
            </w:r>
          </w:p>
        </w:tc>
      </w:tr>
      <w:tr>
        <w:tc>
          <w:tcPr>
            <w:tcW w:type="dxa" w:w="209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模型与向量</w:t>
            </w:r>
          </w:p>
        </w:tc>
        <w:tc>
          <w:tcPr>
            <w:tcW w:type="dxa" w:w="340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资源生成、助教、视觉和语义检索</w:t>
            </w:r>
          </w:p>
        </w:tc>
        <w:tc>
          <w:tcPr>
            <w:tcW w:type="dxa" w:w="334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分别验证真实能力与明确降级，mock 不得冒充通过。</w:t>
            </w:r>
          </w:p>
        </w:tc>
      </w:tr>
      <w:tr>
        <w:tc>
          <w:tcPr>
            <w:tcW w:type="dxa" w:w="209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语音/邮件/外部资源</w:t>
            </w:r>
          </w:p>
        </w:tc>
        <w:tc>
          <w:tcPr>
            <w:tcW w:type="dxa" w:w="340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单项交互或公开资源推荐</w:t>
            </w:r>
          </w:p>
        </w:tc>
        <w:tc>
          <w:tcPr>
            <w:tcW w:type="dxa" w:w="334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可限制通过，但页面必须清晰提示且文字学习主链路完整。</w:t>
            </w:r>
          </w:p>
        </w:tc>
      </w:tr>
      <w:tr>
        <w:tc>
          <w:tcPr>
            <w:tcW w:type="dxa" w:w="209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Piston</w:t>
            </w:r>
          </w:p>
        </w:tc>
        <w:tc>
          <w:tcPr>
            <w:tcW w:type="dxa" w:w="340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在线代码运行</w:t>
            </w:r>
          </w:p>
        </w:tc>
        <w:tc>
          <w:tcPr>
            <w:tcW w:type="dxa" w:w="334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启用时验证 runtime、超时和资源限制；未启用时明确说明。</w:t>
            </w:r>
          </w:p>
        </w:tc>
      </w:tr>
    </w:tbl>
    <w:p>
      <w:pPr>
        <w:spacing w:before="0" w:after="0" w:line="40" w:lineRule="exact"/>
      </w:pPr>
    </w:p>
    <w:p>
      <w:bookmarkStart w:id="19" w:name="toc_0018"/>
      <w:pPr>
        <w:pStyle w:val="Heading1"/>
      </w:pPr>
      <w:r>
        <w:rPr>
          <w:rFonts w:ascii="Times New Roman" w:hAnsi="Times New Roman" w:eastAsia="黑体"/>
          <w:b/>
          <w:sz w:val="34"/>
        </w:rPr>
        <w:t>5 运维与监控</w:t>
      </w:r>
      <w:bookmarkEnd w:id="19"/>
    </w:p>
    <w:p>
      <w:bookmarkStart w:id="20" w:name="toc_0019"/>
      <w:pPr>
        <w:pStyle w:val="Heading2"/>
      </w:pPr>
      <w:r>
        <w:rPr>
          <w:rFonts w:ascii="Times New Roman" w:hAnsi="Times New Roman" w:eastAsia="黑体"/>
          <w:b/>
          <w:sz w:val="27"/>
        </w:rPr>
        <w:t>5.1 日常维护</w:t>
      </w:r>
      <w:bookmarkEnd w:id="20"/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581"/>
      </w:tblGrid>
      <w:tr>
        <w:tc>
          <w:tcPr>
            <w:tcW w:type="dxa" w:w="9581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4"/>
              </w:rPr>
              <w:t>cd ~/studymate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bash scripts/deploy.sh status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bash scripts/deploy.sh logs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docker stats --no-stream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docker system df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df -h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sudo ufw status numbered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仅更新前端：同步 frontend 后执行 docker compose --env-file .deploy.env up -d --build frontend。完整更新：同步代码后执行 bash scripts/deploy.sh。</w:t>
      </w: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每次更新应记录部署时间和验收结果；即使只修改前端，也要从公网复测首页、登录和 /api 代理。</w:t>
      </w:r>
    </w:p>
    <w:p>
      <w:bookmarkStart w:id="21" w:name="toc_0020"/>
      <w:pPr>
        <w:pStyle w:val="Heading2"/>
      </w:pPr>
      <w:r>
        <w:rPr>
          <w:rFonts w:ascii="Times New Roman" w:hAnsi="Times New Roman" w:eastAsia="黑体"/>
          <w:b/>
          <w:sz w:val="27"/>
        </w:rPr>
        <w:t>5.2 数据备份与恢复</w:t>
      </w:r>
      <w:bookmarkEnd w:id="21"/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线上 SQLite 位于 studymate_backend_data 卷，更新前使用 backup API 生成一致快照：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581"/>
      </w:tblGrid>
      <w:tr>
        <w:tc>
          <w:tcPr>
            <w:tcW w:type="dxa" w:w="9581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4"/>
              </w:rPr>
              <w:t>mkdir -p ~/studymate-backups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docker exec studymate-backend python -c '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import sqlite3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s=sqlite3.connect("/app/data/studymate.db")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d=sqlite3.connect("/app/data/backup.db")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s.backup(d); d.close(); s.close()'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>docker cp studymate-backend:/app/data/backup.db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4"/>
              </w:rPr>
              <w:t xml:space="preserve"> ~/studymate-backups/studymate-$(date +%F_%H%M%S).db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恢复前停止 backend 并备份当前库；恢复后检查核心数量、完整性和外键。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5" w:space="0" w:color="BFBFBF"/>
          <w:left w:val="single" w:sz="5" w:space="0" w:color="BFBFBF"/>
          <w:bottom w:val="single" w:sz="5" w:space="0" w:color="BFBFBF"/>
          <w:right w:val="single" w:sz="5" w:space="0" w:color="BFBFBF"/>
          <w:insideH w:val="single" w:sz="5" w:space="0" w:color="BFBFBF"/>
          <w:insideV w:val="single" w:sz="5" w:space="0" w:color="BFBFBF"/>
        </w:tblBorders>
      </w:tblPr>
      <w:tblGrid>
        <w:gridCol w:w="9581"/>
      </w:tblGrid>
      <w:tr>
        <w:tc>
          <w:tcPr>
            <w:tcW w:type="dxa" w:w="9581"/>
            <w:shd w:fill="F2F2F2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Times New Roman" w:hAnsi="Times New Roman" w:eastAsia="黑体"/>
                <w:b/>
                <w:sz w:val="19"/>
              </w:rPr>
              <w:t>数据保护：</w:t>
            </w:r>
            <w:r>
              <w:rPr>
                <w:rFonts w:ascii="Times New Roman" w:hAnsi="Times New Roman" w:eastAsia="仿宋_GB2312"/>
                <w:b w:val="0"/>
                <w:sz w:val="19"/>
              </w:rPr>
              <w:t>严禁执行 docker compose down -v，该命令会删除数据库、Piston runtime 和 Caddy 证书。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Piston 仅绑定 127.0.0.1，并保留 CPU、内存、PID 和并发限制；日常关注日志、磁盘、容器重启和 SQLite 写锁。</w:t>
      </w:r>
    </w:p>
    <w:p>
      <w:bookmarkStart w:id="22" w:name="toc_0021"/>
      <w:pPr>
        <w:pStyle w:val="Heading2"/>
      </w:pPr>
      <w:r>
        <w:rPr>
          <w:rFonts w:ascii="Times New Roman" w:hAnsi="Times New Roman" w:eastAsia="黑体"/>
          <w:b/>
          <w:sz w:val="27"/>
        </w:rPr>
        <w:t>5.3 故障排查</w:t>
      </w:r>
      <w:bookmarkEnd w:id="22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194"/>
        <w:gridCol w:w="3194"/>
        <w:gridCol w:w="3194"/>
      </w:tblGrid>
      <w:tr>
        <w:trPr>
          <w:tblHeader w:val="true"/>
        </w:trP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症状</w:t>
            </w:r>
          </w:p>
        </w:tc>
        <w:tc>
          <w:tcPr>
            <w:tcW w:type="dxa" w:w="30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定位方法</w:t>
            </w:r>
          </w:p>
        </w:tc>
        <w:tc>
          <w:tcPr>
            <w:tcW w:type="dxa" w:w="436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处理与禁忌</w:t>
            </w:r>
          </w:p>
        </w:tc>
      </w:tr>
      <w:t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容器无法启动</w:t>
            </w:r>
          </w:p>
        </w:tc>
        <w:tc>
          <w:tcPr>
            <w:tcW w:type="dxa" w:w="30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config、ps 和容器日志</w:t>
            </w:r>
          </w:p>
        </w:tc>
        <w:tc>
          <w:tcPr>
            <w:tcW w:type="dxa" w:w="436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修复变量或构建，禁止删除卷。</w:t>
            </w:r>
          </w:p>
        </w:tc>
      </w:tr>
      <w:t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镜像拉取超时</w:t>
            </w:r>
          </w:p>
        </w:tc>
        <w:tc>
          <w:tcPr>
            <w:tcW w:type="dxa" w:w="30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按 Docker Hub、GHCR、依赖源定位</w:t>
            </w:r>
          </w:p>
        </w:tc>
        <w:tc>
          <w:tcPr>
            <w:tcW w:type="dxa" w:w="436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切换对应国内源；Piston 使用导入脚本。</w:t>
            </w:r>
          </w:p>
        </w:tc>
      </w:tr>
      <w:t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502 Bad Gateway</w:t>
            </w:r>
          </w:p>
        </w:tc>
        <w:tc>
          <w:tcPr>
            <w:tcW w:type="dxa" w:w="30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逐层检查 backend、Nginx、Caddy</w:t>
            </w:r>
          </w:p>
        </w:tc>
        <w:tc>
          <w:tcPr>
            <w:tcW w:type="dxa" w:w="436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修复失败层并重启对应服务。</w:t>
            </w:r>
          </w:p>
        </w:tc>
      </w:tr>
      <w:t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SQLite 异常</w:t>
            </w:r>
          </w:p>
        </w:tc>
        <w:tc>
          <w:tcPr>
            <w:tcW w:type="dxa" w:w="30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检查数据卷、完整性、外键和写锁</w:t>
            </w:r>
          </w:p>
        </w:tc>
        <w:tc>
          <w:tcPr>
            <w:tcW w:type="dxa" w:w="436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停止写入并在线备份，禁止 down -v。</w:t>
            </w:r>
          </w:p>
        </w:tc>
      </w:tr>
      <w:t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AI/SSE/语音异常</w:t>
            </w:r>
          </w:p>
        </w:tc>
        <w:tc>
          <w:tcPr>
            <w:tcW w:type="dxa" w:w="30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检查事件流、日志、出站与配置</w:t>
            </w:r>
          </w:p>
        </w:tc>
        <w:tc>
          <w:tcPr>
            <w:tcW w:type="dxa" w:w="436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恢复网络或变量，不输出真实密钥。</w:t>
            </w:r>
          </w:p>
        </w:tc>
      </w:tr>
      <w:t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静态或上传异常</w:t>
            </w:r>
          </w:p>
        </w:tc>
        <w:tc>
          <w:tcPr>
            <w:tcW w:type="dxa" w:w="30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检查哈希缓存、代理和大小格式</w:t>
            </w:r>
          </w:p>
        </w:tc>
        <w:tc>
          <w:tcPr>
            <w:tcW w:type="dxa" w:w="436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重建前端或调整文件，不使用 777。</w:t>
            </w:r>
          </w:p>
        </w:tc>
      </w:tr>
      <w:t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SSL/Piston 异常</w:t>
            </w:r>
          </w:p>
        </w:tc>
        <w:tc>
          <w:tcPr>
            <w:tcW w:type="dxa" w:w="30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检查 DNS、端口、Caddy、runtime API</w:t>
            </w:r>
          </w:p>
        </w:tc>
        <w:tc>
          <w:tcPr>
            <w:tcW w:type="dxa" w:w="436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让 Caddy 重试或重新初始化 runtime。</w:t>
            </w:r>
          </w:p>
        </w:tc>
      </w:tr>
    </w:tbl>
    <w:p>
      <w:pPr>
        <w:spacing w:before="0" w:after="0" w:line="40" w:lineRule="exact"/>
      </w:pPr>
    </w:p>
    <w:p>
      <w:bookmarkStart w:id="23" w:name="toc_0022"/>
      <w:pPr>
        <w:pStyle w:val="Heading2"/>
      </w:pPr>
      <w:r>
        <w:rPr>
          <w:rFonts w:ascii="Times New Roman" w:hAnsi="Times New Roman" w:eastAsia="黑体"/>
          <w:b/>
          <w:sz w:val="27"/>
        </w:rPr>
        <w:t>5.4 运维边界与验收留痕</w:t>
      </w:r>
      <w:bookmarkEnd w:id="23"/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每次发布应记录代码版本、镜像摘要、配置摘要、数据库备份和最终验收结论。RPO 以上一次已校验且可异机取得的备份为上限；RTO 以实际恢复演练为准，不填写未经验证的固定耗时。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9"/>
        </w:rPr>
        <w:t>• 基础设施问题关注服务器、网络、Docker 和磁盘；应用问题关注镜像、配置、接口与日志；数据问题先停止写入并保留现场。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9"/>
        </w:rPr>
        <w:t>• 前端更新后复测助教长内容与长截图、四列蛇形路径、雷达标签安全区以及代码标准输入可见性。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9"/>
        </w:rPr>
        <w:t>• 模型、语音或公开资源降级必须明确提示；登录、数据完整性、权限和 HTTPS 异常属于上线阻断项。</w:t>
      </w:r>
    </w:p>
    <w:p>
      <w:bookmarkStart w:id="24" w:name="toc_0023"/>
      <w:pPr>
        <w:pStyle w:val="Heading2"/>
      </w:pPr>
      <w:r>
        <w:rPr>
          <w:rFonts w:ascii="Times New Roman" w:hAnsi="Times New Roman" w:eastAsia="黑体"/>
          <w:b/>
          <w:sz w:val="27"/>
        </w:rPr>
        <w:t>5.5 发布后观察与结束处理</w:t>
      </w:r>
      <w:bookmarkEnd w:id="24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194"/>
        <w:gridCol w:w="3194"/>
        <w:gridCol w:w="3194"/>
      </w:tblGrid>
      <w:tr>
        <w:trPr>
          <w:tblHeader w:val="true"/>
        </w:trP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观察对象</w:t>
            </w:r>
          </w:p>
        </w:tc>
        <w:tc>
          <w:tcPr>
            <w:tcW w:type="dxa" w:w="39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确认内容</w:t>
            </w:r>
          </w:p>
        </w:tc>
        <w:tc>
          <w:tcPr>
            <w:tcW w:type="dxa" w:w="30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异常处理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服务</w:t>
            </w:r>
          </w:p>
        </w:tc>
        <w:tc>
          <w:tcPr>
            <w:tcW w:type="dxa" w:w="39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容器健康、重启次数、错误日志和磁盘余量</w:t>
            </w:r>
          </w:p>
        </w:tc>
        <w:tc>
          <w:tcPr>
            <w:tcW w:type="dxa" w:w="30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保留日志并定位具体服务，不删除命名卷。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业务</w:t>
            </w:r>
          </w:p>
        </w:tc>
        <w:tc>
          <w:tcPr>
            <w:tcW w:type="dxa" w:w="39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登录、课程、RAG、SSE、附件、语音和代码运行</w:t>
            </w:r>
          </w:p>
        </w:tc>
        <w:tc>
          <w:tcPr>
            <w:tcW w:type="dxa" w:w="30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区分核心阻断与可选能力降级，必要时回滚镜像。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数据</w:t>
            </w:r>
          </w:p>
        </w:tc>
        <w:tc>
          <w:tcPr>
            <w:tcW w:type="dxa" w:w="39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用户/课程/知识块数量、完整性、外键和最新备份</w:t>
            </w:r>
          </w:p>
        </w:tc>
        <w:tc>
          <w:tcPr>
            <w:tcW w:type="dxa" w:w="30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停止写入、二次备份，再决定修复或恢复。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安全</w:t>
            </w:r>
          </w:p>
        </w:tc>
        <w:tc>
          <w:tcPr>
            <w:tcW w:type="dxa" w:w="39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证书、公开端口、环境文件权限和测试账号</w:t>
            </w:r>
          </w:p>
        </w:tc>
        <w:tc>
          <w:tcPr>
            <w:tcW w:type="dxa" w:w="30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关闭多余入口，比赛结束后轮换密码与外部凭据。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发布观察完成后，应把最终代码版本、镜像摘要、验收结论和可恢复备份一并归档，作为下一次更新或故障恢复的基线。</w:t>
      </w:r>
    </w:p>
    <w:p>
      <w:bookmarkStart w:id="25" w:name="toc_0024"/>
      <w:pPr>
        <w:pStyle w:val="Heading2"/>
      </w:pPr>
      <w:r>
        <w:rPr>
          <w:rFonts w:ascii="Times New Roman" w:hAnsi="Times New Roman" w:eastAsia="黑体"/>
          <w:b/>
          <w:sz w:val="27"/>
        </w:rPr>
        <w:t>5.6 比赛展示与故障兜底</w:t>
      </w:r>
      <w:bookmarkEnd w:id="25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194"/>
        <w:gridCol w:w="3194"/>
        <w:gridCol w:w="3194"/>
      </w:tblGrid>
      <w:tr>
        <w:trPr>
          <w:tblHeader w:val="true"/>
        </w:trPr>
        <w:tc>
          <w:tcPr>
            <w:tcW w:type="dxa" w:w="192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展示环节</w:t>
            </w:r>
          </w:p>
        </w:tc>
        <w:tc>
          <w:tcPr>
            <w:tcW w:type="dxa" w:w="357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正常路径</w:t>
            </w:r>
          </w:p>
        </w:tc>
        <w:tc>
          <w:tcPr>
            <w:tcW w:type="dxa" w:w="334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异常时处理</w:t>
            </w:r>
          </w:p>
        </w:tc>
      </w:tr>
      <w:tr>
        <w:tc>
          <w:tcPr>
            <w:tcW w:type="dxa" w:w="192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登录与课程</w:t>
            </w:r>
          </w:p>
        </w:tc>
        <w:tc>
          <w:tcPr>
            <w:tcW w:type="dxa" w:w="357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使用评委账号进入指定课程并确认画像</w:t>
            </w:r>
          </w:p>
        </w:tc>
        <w:tc>
          <w:tcPr>
            <w:tcW w:type="dxa" w:w="334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切换备用测试账号，保留错误信息，不修改线上数据。</w:t>
            </w:r>
          </w:p>
        </w:tc>
      </w:tr>
      <w:tr>
        <w:tc>
          <w:tcPr>
            <w:tcW w:type="dxa" w:w="192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AI 与资源生成</w:t>
            </w:r>
          </w:p>
        </w:tc>
        <w:tc>
          <w:tcPr>
            <w:tcW w:type="dxa" w:w="357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展示真实 SSE、引用和工作台资源</w:t>
            </w:r>
          </w:p>
        </w:tc>
        <w:tc>
          <w:tcPr>
            <w:tcW w:type="dxa" w:w="334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明确说明外部模型状态，使用已保存的真实生成记录继续展示。</w:t>
            </w:r>
          </w:p>
        </w:tc>
      </w:tr>
      <w:tr>
        <w:tc>
          <w:tcPr>
            <w:tcW w:type="dxa" w:w="192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语音与外部资源</w:t>
            </w:r>
          </w:p>
        </w:tc>
        <w:tc>
          <w:tcPr>
            <w:tcW w:type="dxa" w:w="357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展示已配置能力和可信详情页</w:t>
            </w:r>
          </w:p>
        </w:tc>
        <w:tc>
          <w:tcPr>
            <w:tcW w:type="dxa" w:w="334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单项降级时保留文字学习主链路并给出可解释提示。</w:t>
            </w:r>
          </w:p>
        </w:tc>
      </w:tr>
      <w:tr>
        <w:tc>
          <w:tcPr>
            <w:tcW w:type="dxa" w:w="192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在线代码</w:t>
            </w:r>
          </w:p>
        </w:tc>
        <w:tc>
          <w:tcPr>
            <w:tcW w:type="dxa" w:w="357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运行已验证的 Python/C/C++ 示例</w:t>
            </w:r>
          </w:p>
        </w:tc>
        <w:tc>
          <w:tcPr>
            <w:tcW w:type="dxa" w:w="334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Piston 异常时停止重复提交，展示既有结果并在演示后排障。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比赛前应完成一次无调试操作的完整彩排，并准备已验证截图或录屏作为外部服务临时不可用时的辅助材料；兜底材料只能补充说明，不能把 mock 结果描述为真实运行。</w:t>
      </w:r>
    </w:p>
    <w:p>
      <w:bookmarkStart w:id="26" w:name="toc_0025"/>
      <w:pPr>
        <w:pStyle w:val="Heading2"/>
      </w:pPr>
      <w:r>
        <w:rPr>
          <w:rFonts w:ascii="Times New Roman" w:hAnsi="Times New Roman" w:eastAsia="黑体"/>
          <w:b/>
          <w:sz w:val="27"/>
        </w:rPr>
        <w:t>5.7 最终交付验收清单</w:t>
      </w:r>
      <w:bookmarkEnd w:id="26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790"/>
        <w:gridCol w:w="4790"/>
      </w:tblGrid>
      <w:tr>
        <w:trPr>
          <w:tblHeader w:val="true"/>
        </w:trPr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验收项</w:t>
            </w:r>
          </w:p>
        </w:tc>
        <w:tc>
          <w:tcPr>
            <w:tcW w:type="dxa" w:w="646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通过标准</w:t>
            </w:r>
          </w:p>
        </w:tc>
      </w:tr>
      <w:tr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版本</w:t>
            </w:r>
          </w:p>
        </w:tc>
        <w:tc>
          <w:tcPr>
            <w:tcW w:type="dxa" w:w="646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源码、镜像、配置模板和部署文档能够相互对应。</w:t>
            </w:r>
          </w:p>
        </w:tc>
      </w:tr>
      <w:tr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公网</w:t>
            </w:r>
          </w:p>
        </w:tc>
        <w:tc>
          <w:tcPr>
            <w:tcW w:type="dxa" w:w="646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DNS、证书、80/443、备案和外网 PC/手机访问正常。</w:t>
            </w:r>
          </w:p>
        </w:tc>
      </w:tr>
      <w:tr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业务</w:t>
            </w:r>
          </w:p>
        </w:tc>
        <w:tc>
          <w:tcPr>
            <w:tcW w:type="dxa" w:w="646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三类角色、五门课程、RAG、SSE、附件、语音和代码按启用范围通过。</w:t>
            </w:r>
          </w:p>
        </w:tc>
      </w:tr>
      <w:tr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数据</w:t>
            </w:r>
          </w:p>
        </w:tc>
        <w:tc>
          <w:tcPr>
            <w:tcW w:type="dxa" w:w="646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数量符合预期，integrity_check=ok、foreign_key_check=0，备份可取得。</w:t>
            </w:r>
          </w:p>
        </w:tc>
      </w:tr>
      <w:tr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安全</w:t>
            </w:r>
          </w:p>
        </w:tc>
        <w:tc>
          <w:tcPr>
            <w:tcW w:type="dxa" w:w="646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环境文件权限正确，无真实密钥进入源码、文档、截图或交付包。</w:t>
            </w:r>
          </w:p>
        </w:tc>
      </w:tr>
      <w:tr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回滚</w:t>
            </w:r>
          </w:p>
        </w:tc>
        <w:tc>
          <w:tcPr>
            <w:tcW w:type="dxa" w:w="646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保留上一版镜像或代码，明确代码回滚与数据恢复的不同触发条件。</w:t>
            </w:r>
          </w:p>
        </w:tc>
      </w:tr>
      <w:tr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近期界面</w:t>
            </w:r>
          </w:p>
        </w:tc>
        <w:tc>
          <w:tcPr>
            <w:tcW w:type="dxa" w:w="646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长截图、蛇形路径、雷达文字安全区和标准输入显示均完成浏览器回归。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交付前由未参与本次修改的成员按清单独立复核，并把发现的问题、限制条件和最终结论写入验收记录。</w:t>
      </w:r>
    </w:p>
    <w:p>
      <w:bookmarkStart w:id="27" w:name="toc_0026"/>
      <w:pPr>
        <w:pStyle w:val="Heading2"/>
      </w:pPr>
      <w:r>
        <w:rPr>
          <w:rFonts w:ascii="Times New Roman" w:hAnsi="Times New Roman" w:eastAsia="黑体"/>
          <w:b/>
          <w:sz w:val="27"/>
        </w:rPr>
        <w:t>5.8 部署交接责任与资料去向</w:t>
      </w:r>
      <w:bookmarkEnd w:id="27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194"/>
        <w:gridCol w:w="3194"/>
        <w:gridCol w:w="3194"/>
      </w:tblGrid>
      <w:tr>
        <w:trPr>
          <w:tblHeader w:val="true"/>
        </w:trP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交接对象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资料去向与责任边界</w:t>
            </w:r>
          </w:p>
        </w:tc>
        <w:tc>
          <w:tcPr>
            <w:tcW w:type="dxa" w:w="294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接收方复核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访问与权限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记录云控制台、SSH、域名/DNS 和证书的维护归属，不在文档中保存私钥。</w:t>
            </w:r>
          </w:p>
        </w:tc>
        <w:tc>
          <w:tcPr>
            <w:tcW w:type="dxa" w:w="294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确认能够独立登录，且未共享 root 密码或私钥。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版本与镜像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归档最终 Git 提交、镜像摘要、回滚标签以及本次生成的部署文档。</w:t>
            </w:r>
          </w:p>
        </w:tc>
        <w:tc>
          <w:tcPr>
            <w:tcW w:type="dxa" w:w="294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核对线上容器与交付版本一致。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配置与密钥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仅记录变量名称、服务用途、保管位置和轮换责任人。</w:t>
            </w:r>
          </w:p>
        </w:tc>
        <w:tc>
          <w:tcPr>
            <w:tcW w:type="dxa" w:w="294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确认真实值未进入源码、截图和交付包。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数据与风险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记录 SQLite 实际路径、最近备份、异机副本位置、限制通过项和已知风险。</w:t>
            </w:r>
          </w:p>
        </w:tc>
        <w:tc>
          <w:tcPr>
            <w:tcW w:type="dxa" w:w="294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完成完整性检查，并确认备份可读取和可恢复。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64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20"/>
        </w:rPr>
        <w:t>交接完成后，由接收成员独立执行一次容器状态、公网访问、核心业务和数据库检查；复核通过后再把该版本作为下一次更新的维护基线。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62" w:right="1134" w:bottom="935" w:left="1191" w:header="425" w:footer="369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仿宋_GB2312"/>
        <w:b w:val="0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color="7F7F7F"/>
      </w:pBdr>
    </w:pPr>
    <w:r>
      <w:rPr>
        <w:rFonts w:ascii="Times New Roman" w:hAnsi="Times New Roman" w:eastAsia="黑体"/>
        <w:b/>
        <w:color w:val="666666"/>
        <w:sz w:val="17"/>
      </w:rPr>
      <w:t>StudyMate：基于大模型的个性化资源生成与学习多智能体系统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 w:after="40"/>
    </w:pPr>
    <w:rPr>
      <w:rFonts w:ascii="仿宋_GB2312" w:hAnsi="仿宋_GB2312" w:eastAsia="仿宋_GB231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6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4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系统部署说明书</dc:title>
  <dc:subject>StudyMate：基于大模型的个性化资源生成与学习多智能体系统</dc:subject>
  <dc:creator>StudyMate 项目组</dc:creator>
  <cp:keywords/>
  <dc:description>按竞赛示例版式生成；作者信息请由项目组补充。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