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星澜工单平台部署手册 v3.2</w:t>
      </w:r>
    </w:p>
    <w:p>
      <w:pPr>
        <w:pStyle w:val="Normal"/>
      </w:pPr>
      <w:r>
        <w:t xml:space="preserve">适用范围：单机测试环境、高可用生产环境和灰度发布环境。本文档中的端口与配置项用于 RAG 测试，不代表真实系统要求。</w:t>
      </w:r>
    </w:p>
    <w:p>
      <w:pPr>
        <w:pStyle w:val="Heading1"/>
      </w:pPr>
      <w:r>
        <w:t xml:space="preserve">环境要求</w:t>
      </w:r>
    </w:p>
    <w:p>
      <w:pPr>
        <w:pStyle w:val="Normal"/>
      </w:pPr>
      <w:r>
        <w:t xml:space="preserve">JDK 17 或更高版本；PostgreSQL 14；Redis 6.2；对象存储兼容 S3 协议。最低 CPU 为 4 核，最低内存为 8GB。生产环境建议 8 核 32GB。</w:t>
      </w:r>
    </w:p>
    <w:p>
      <w:pPr>
        <w:pStyle w:val="Heading1"/>
      </w:pPr>
      <w:r>
        <w:t xml:space="preserve">默认端口</w:t>
      </w:r>
    </w:p>
    <w:p>
      <w:pPr>
        <w:pStyle w:val="Normal"/>
      </w:pPr>
      <w:r>
        <w:t xml:space="preserve">Web 控制台端口为 8088。API 服务端口为 8090。任务调度服务端口为 8092。内部健康检查端口为 19090。</w:t>
      </w:r>
    </w:p>
    <w:p>
      <w:pPr>
        <w:pStyle w:val="Heading1"/>
      </w:pPr>
      <w:r>
        <w:t xml:space="preserve">关键配置项</w:t>
      </w:r>
    </w:p>
    <w:p>
      <w:pPr>
        <w:pStyle w:val="Normal"/>
      </w:pPr>
      <w:r>
        <w:t xml:space="preserve">STARLAN_DB_URL 表示数据库连接地址。STARLAN_REDIS_URL 表示 Redis 连接地址。STARLAN_OBJECT_BUCKET 表示附件对象存储桶。STARLAN_SLA_WORKER_SIZE 默认值为 8，超过 2000 坐席时建议设置为 32。</w:t>
      </w:r>
    </w:p>
    <w:p>
      <w:pPr>
        <w:pStyle w:val="Heading1"/>
      </w:pPr>
      <w:r>
        <w:t xml:space="preserve">升级步骤</w:t>
      </w:r>
    </w:p>
    <w:p>
      <w:pPr>
        <w:pStyle w:val="Normal"/>
      </w:pPr>
      <w:r>
        <w:t xml:space="preserve">1. 备份数据库和对象存储元数据。2. 暂停 Flow Desk 的自动升级任务。3. 部署新版本 API 服务。4. 执行数据库迁移。5. 恢复自动升级任务。</w:t>
      </w:r>
    </w:p>
    <w:p>
      <w:pPr>
        <w:pStyle w:val="Heading1"/>
      </w:pPr>
      <w:r>
        <w:t xml:space="preserve">回滚步骤</w:t>
      </w:r>
    </w:p>
    <w:p>
      <w:pPr>
        <w:pStyle w:val="Normal"/>
      </w:pPr>
      <w:r>
        <w:t xml:space="preserve">如果 v3.2 升级失败，允许回滚到 v3.1.7，但必须先禁用新口径的知识命中率任务，否则旧版本报表会出现字段缺失。</w:t>
      </w:r>
    </w:p>
    <w:p>
      <w:pPr>
        <w:pStyle w:val="Heading1"/>
      </w:pPr>
      <w:r>
        <w:t xml:space="preserve">易混淆信息</w:t>
      </w:r>
    </w:p>
    <w:p>
      <w:pPr>
        <w:pStyle w:val="Normal"/>
      </w:pPr>
      <w:r>
        <w:t xml:space="preserve">部署手册中的升级指软件版本升级；产品手册中的自动升级指 SLA 层级升级。</w:t>
      </w:r>
    </w:p>
    <w:sectPr>
      <w:pgSz w:w="11906" w:h="16838"/>
      <w:pgMar w:top="1440" w:right="1440" w:bottom="1440" w:left="1440"/>
    </w:sectPr>
  </w:body>
</w:document>
</file>