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星澜工单平台权限策略 v2026.07</w:t>
      </w:r>
    </w:p>
    <w:p>
      <w:pPr>
        <w:pStyle w:val="Normal"/>
      </w:pPr>
      <w:r>
        <w:t xml:space="preserve">本策略覆盖坐席、主管、审计员、外部请求人和系统管理员。权限判断采用角色权限、队列归属和字段级规则叠加。</w:t>
      </w:r>
    </w:p>
    <w:p>
      <w:pPr>
        <w:pStyle w:val="Heading1"/>
      </w:pPr>
      <w:r>
        <w:t xml:space="preserve">角色权限</w:t>
      </w:r>
    </w:p>
    <w:p>
      <w:pPr>
        <w:pStyle w:val="Normal"/>
      </w:pPr>
      <w:r>
        <w:t xml:space="preserve">坐席 Agent 可以查看自己所在队列的工单，可以编辑内部处理备注，但不能删除审计日志。</w:t>
      </w:r>
    </w:p>
    <w:p>
      <w:pPr>
        <w:pStyle w:val="Normal"/>
      </w:pPr>
      <w:r>
        <w:t xml:space="preserve">主管 Supervisor 可以跨队列重新分派工单，可以批准 P0 工单的 SLA 暂停申请。</w:t>
      </w:r>
    </w:p>
    <w:p>
      <w:pPr>
        <w:pStyle w:val="Normal"/>
      </w:pPr>
      <w:r>
        <w:t xml:space="preserve">审计员 Auditor 可以查看审计日志和内部处理备注，但不能修改工单状态。</w:t>
      </w:r>
    </w:p>
    <w:p>
      <w:pPr>
        <w:pStyle w:val="Normal"/>
      </w:pPr>
      <w:r>
        <w:t xml:space="preserve">外部请求人 Requester 只能查看自己提交的工单和客户可见备注。</w:t>
      </w:r>
    </w:p>
    <w:p>
      <w:pPr>
        <w:pStyle w:val="Normal"/>
      </w:pPr>
      <w:r>
        <w:t xml:space="preserve">系统管理员 Admin 可以配置队列、角色、字段脱敏和系统集成，但默认不参与工单处理。</w:t>
      </w:r>
    </w:p>
    <w:p>
      <w:pPr>
        <w:pStyle w:val="Heading1"/>
      </w:pPr>
      <w:r>
        <w:t xml:space="preserve">字段级规则</w:t>
      </w:r>
    </w:p>
    <w:p>
      <w:pPr>
        <w:pStyle w:val="Normal"/>
      </w:pPr>
      <w:r>
        <w:t xml:space="preserve">手机号、邮箱和合同金额属于敏感字段。Standard 套餐仅支持手机号脱敏；Professional 支持手机号和邮箱脱敏；Enterprise 支持自定义字段脱敏。</w:t>
      </w:r>
    </w:p>
    <w:p>
      <w:pPr>
        <w:pStyle w:val="Heading1"/>
      </w:pPr>
      <w:r>
        <w:t xml:space="preserve">审批规则</w:t>
      </w:r>
    </w:p>
    <w:p>
      <w:pPr>
        <w:pStyle w:val="Normal"/>
      </w:pPr>
      <w:r>
        <w:t xml:space="preserve">P0 工单暂停 SLA 必须由主管批准。超过 4 小时的 SLA 暂停必须由主管和审计员双人确认。</w:t>
      </w:r>
    </w:p>
    <w:p>
      <w:pPr>
        <w:pStyle w:val="Heading1"/>
      </w:pPr>
      <w:r>
        <w:t xml:space="preserve">版本差异</w:t>
      </w:r>
    </w:p>
    <w:p>
      <w:pPr>
        <w:pStyle w:val="Normal"/>
      </w:pPr>
      <w:r>
        <w:t xml:space="preserve">自 2026.07 策略起，审计员可以查看内部处理备注。2026.05 策略中审计员不能查看内部处理备注，该规则已失效。</w:t>
      </w:r>
    </w:p>
    <w:sectPr>
      <w:pgSz w:w="11906" w:h="16838"/>
      <w:pgMar w:top="1440" w:right="1440" w:bottom="1440" w:left="1440"/>
    </w:sectPr>
  </w:body>
</w:document>
</file>