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74B5"/>
          <w:sz w:val="40"/>
        </w:rPr>
        <w:t>Aether 企业客户服务与事故管理运行手册</w:t>
      </w:r>
    </w:p>
    <w:p>
      <w:pPr>
        <w:jc w:val="center"/>
      </w:pPr>
      <w:r>
        <w:rPr>
          <w:color w:val="59626E"/>
          <w:sz w:val="20"/>
        </w:rPr>
        <w:t>受控运行文件｜面向客户成功、支持、SRE 与商业运营团队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</w:tcPr>
          <w:p>
            <w:r>
              <w:t>文档所有者</w:t>
            </w:r>
          </w:p>
        </w:tc>
        <w:tc>
          <w:tcPr>
            <w:tcW w:type="dxa" w:w="4896"/>
          </w:tcPr>
          <w:p>
            <w:r>
              <w:t>客户成功与服务运营部</w:t>
            </w:r>
          </w:p>
        </w:tc>
      </w:tr>
      <w:tr>
        <w:tc>
          <w:tcPr>
            <w:tcW w:type="dxa" w:w="4896"/>
            <w:shd w:fill="E8EEF5"/>
          </w:tcPr>
          <w:p>
            <w:r>
              <w:t>分类等级</w:t>
            </w:r>
          </w:p>
        </w:tc>
        <w:tc>
          <w:tcPr>
            <w:tcW w:type="dxa" w:w="4896"/>
          </w:tcPr>
          <w:p>
            <w:r>
              <w:t>内部</w:t>
            </w:r>
          </w:p>
        </w:tc>
      </w:tr>
      <w:tr>
        <w:tc>
          <w:tcPr>
            <w:tcW w:type="dxa" w:w="4896"/>
            <w:shd w:fill="E8EEF5"/>
          </w:tcPr>
          <w:p>
            <w:r>
              <w:t>生效日期</w:t>
            </w:r>
          </w:p>
        </w:tc>
        <w:tc>
          <w:tcPr>
            <w:tcW w:type="dxa" w:w="4896"/>
          </w:tcPr>
          <w:p>
            <w:r>
              <w:t>2026-08-01</w:t>
            </w:r>
          </w:p>
        </w:tc>
      </w:tr>
      <w:tr>
        <w:tc>
          <w:tcPr>
            <w:tcW w:type="dxa" w:w="4896"/>
            <w:shd w:fill="E8EEF5"/>
          </w:tcPr>
          <w:p>
            <w:r>
              <w:t>复审周期</w:t>
            </w:r>
          </w:p>
        </w:tc>
        <w:tc>
          <w:tcPr>
            <w:tcW w:type="dxa" w:w="4896"/>
          </w:tcPr>
          <w:p>
            <w:r>
              <w:t>每季度或重大事件后</w:t>
            </w:r>
          </w:p>
        </w:tc>
      </w:tr>
    </w:tbl>
    <w:p/>
    <w:p>
      <w:pPr>
        <w:pStyle w:val="Heading1"/>
      </w:pPr>
      <w:r>
        <w:t>1. 目的、范围与控制原则</w:t>
      </w:r>
    </w:p>
    <w:p>
      <w:pPr>
        <w:spacing w:line="288" w:lineRule="auto"/>
      </w:pPr>
      <w:r>
        <w:t>本手册用于统一 Enterprise 客户的支持受理、事故沟通、服务信用、续费风险与退出服务流程。任何外部承诺必须与已签署订单表、状态页或经批准的事故沟通一致；口头承诺、聊天记录或 CRM 备注不得替代合同变更单。</w:t>
      </w:r>
    </w:p>
    <w:p>
      <w:pPr>
        <w:pStyle w:val="Heading2"/>
      </w:pPr>
      <w:r>
        <w:t>1.1 角色与责任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</w:tcPr>
          <w:p>
            <w:r>
              <w:t>角色</w:t>
            </w:r>
          </w:p>
        </w:tc>
        <w:tc>
          <w:tcPr>
            <w:tcW w:type="dxa" w:w="3264"/>
            <w:shd w:fill="E8EEF5"/>
          </w:tcPr>
          <w:p>
            <w:r>
              <w:t>核心责任</w:t>
            </w:r>
          </w:p>
        </w:tc>
        <w:tc>
          <w:tcPr>
            <w:tcW w:type="dxa" w:w="3264"/>
            <w:shd w:fill="E8EEF5"/>
          </w:tcPr>
          <w:p>
            <w:r>
              <w:t>不得执行的行为</w:t>
            </w:r>
          </w:p>
        </w:tc>
      </w:tr>
      <w:tr>
        <w:tc>
          <w:tcPr>
            <w:tcW w:type="dxa" w:w="3264"/>
          </w:tcPr>
          <w:p>
            <w:r>
              <w:t>客户成功经理</w:t>
            </w:r>
          </w:p>
        </w:tc>
        <w:tc>
          <w:tcPr>
            <w:tcW w:type="dxa" w:w="3264"/>
          </w:tcPr>
          <w:p>
            <w:r>
              <w:t>维护成功计划、识别续费风险、组织业务回顾</w:t>
            </w:r>
          </w:p>
        </w:tc>
        <w:tc>
          <w:tcPr>
            <w:tcW w:type="dxa" w:w="3264"/>
          </w:tcPr>
          <w:p>
            <w:r>
              <w:t>口头修改价格、SLA 或数据驻留承诺</w:t>
            </w:r>
          </w:p>
        </w:tc>
      </w:tr>
      <w:tr>
        <w:tc>
          <w:tcPr>
            <w:tcW w:type="dxa" w:w="3264"/>
          </w:tcPr>
          <w:p>
            <w:r>
              <w:t>支持负责人</w:t>
            </w:r>
          </w:p>
        </w:tc>
        <w:tc>
          <w:tcPr>
            <w:tcW w:type="dxa" w:w="3264"/>
          </w:tcPr>
          <w:p>
            <w:r>
              <w:t>分级工单、协调技术响应、更新客户</w:t>
            </w:r>
          </w:p>
        </w:tc>
        <w:tc>
          <w:tcPr>
            <w:tcW w:type="dxa" w:w="3264"/>
          </w:tcPr>
          <w:p>
            <w:r>
              <w:t>绕过安全与权限流程</w:t>
            </w:r>
          </w:p>
        </w:tc>
      </w:tr>
      <w:tr>
        <w:tc>
          <w:tcPr>
            <w:tcW w:type="dxa" w:w="3264"/>
          </w:tcPr>
          <w:p>
            <w:r>
              <w:t>事故指挥官</w:t>
            </w:r>
          </w:p>
        </w:tc>
        <w:tc>
          <w:tcPr>
            <w:tcW w:type="dxa" w:w="3264"/>
          </w:tcPr>
          <w:p>
            <w:r>
              <w:t>决定事故级别、恢复判定与内部节奏</w:t>
            </w:r>
          </w:p>
        </w:tc>
        <w:tc>
          <w:tcPr>
            <w:tcW w:type="dxa" w:w="3264"/>
          </w:tcPr>
          <w:p>
            <w:r>
              <w:t>未经证据确认根因</w:t>
            </w:r>
          </w:p>
        </w:tc>
      </w:tr>
      <w:tr>
        <w:tc>
          <w:tcPr>
            <w:tcW w:type="dxa" w:w="3264"/>
          </w:tcPr>
          <w:p>
            <w:r>
              <w:t>商业运营</w:t>
            </w:r>
          </w:p>
        </w:tc>
        <w:tc>
          <w:tcPr>
            <w:tcW w:type="dxa" w:w="3264"/>
          </w:tcPr>
          <w:p>
            <w:r>
              <w:t>解释账单、处理信用与订单变更</w:t>
            </w:r>
          </w:p>
        </w:tc>
        <w:tc>
          <w:tcPr>
            <w:tcW w:type="dxa" w:w="3264"/>
          </w:tcPr>
          <w:p>
            <w:r>
              <w:t>承诺未批准的减免</w:t>
            </w:r>
          </w:p>
        </w:tc>
      </w:tr>
    </w:tbl>
    <w:p/>
    <w:p>
      <w:pPr>
        <w:pStyle w:val="Heading1"/>
      </w:pPr>
      <w:r>
        <w:t>2. 服务等级与工单受理</w:t>
      </w:r>
    </w:p>
    <w:p>
      <w:pPr>
        <w:pStyle w:val="Heading2"/>
      </w:pPr>
      <w:r>
        <w:t>2.1 分级标准与首次响应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8EEF5"/>
          </w:tcPr>
          <w:p>
            <w:r>
              <w:t>等级</w:t>
            </w:r>
          </w:p>
        </w:tc>
        <w:tc>
          <w:tcPr>
            <w:tcW w:type="dxa" w:w="2448"/>
            <w:shd w:fill="E8EEF5"/>
          </w:tcPr>
          <w:p>
            <w:r>
              <w:t>定义</w:t>
            </w:r>
          </w:p>
        </w:tc>
        <w:tc>
          <w:tcPr>
            <w:tcW w:type="dxa" w:w="2448"/>
            <w:shd w:fill="E8EEF5"/>
          </w:tcPr>
          <w:p>
            <w:r>
              <w:t>Enterprise 首次响应</w:t>
            </w:r>
          </w:p>
        </w:tc>
        <w:tc>
          <w:tcPr>
            <w:tcW w:type="dxa" w:w="2448"/>
            <w:shd w:fill="E8EEF5"/>
          </w:tcPr>
          <w:p>
            <w:r>
              <w:t>更新节奏</w:t>
            </w:r>
          </w:p>
        </w:tc>
      </w:tr>
      <w:tr>
        <w:tc>
          <w:tcPr>
            <w:tcW w:type="dxa" w:w="2448"/>
          </w:tcPr>
          <w:p>
            <w:r>
              <w:t>P1</w:t>
            </w:r>
          </w:p>
        </w:tc>
        <w:tc>
          <w:tcPr>
            <w:tcW w:type="dxa" w:w="2448"/>
          </w:tcPr>
          <w:p>
            <w:r>
              <w:t>核心生产业务不可用且无绕行方案</w:t>
            </w:r>
          </w:p>
        </w:tc>
        <w:tc>
          <w:tcPr>
            <w:tcW w:type="dxa" w:w="2448"/>
          </w:tcPr>
          <w:p>
            <w:r>
              <w:t>30 分钟</w:t>
            </w:r>
          </w:p>
        </w:tc>
        <w:tc>
          <w:tcPr>
            <w:tcW w:type="dxa" w:w="2448"/>
          </w:tcPr>
          <w:p>
            <w:r>
              <w:t>每 30 分钟</w:t>
            </w:r>
          </w:p>
        </w:tc>
      </w:tr>
      <w:tr>
        <w:tc>
          <w:tcPr>
            <w:tcW w:type="dxa" w:w="2448"/>
          </w:tcPr>
          <w:p>
            <w:r>
              <w:t>P2</w:t>
            </w:r>
          </w:p>
        </w:tc>
        <w:tc>
          <w:tcPr>
            <w:tcW w:type="dxa" w:w="2448"/>
          </w:tcPr>
          <w:p>
            <w:r>
              <w:t>关键功能严重降级，有临时绕行方案</w:t>
            </w:r>
          </w:p>
        </w:tc>
        <w:tc>
          <w:tcPr>
            <w:tcW w:type="dxa" w:w="2448"/>
          </w:tcPr>
          <w:p>
            <w:r>
              <w:t>2 小时</w:t>
            </w:r>
          </w:p>
        </w:tc>
        <w:tc>
          <w:tcPr>
            <w:tcW w:type="dxa" w:w="2448"/>
          </w:tcPr>
          <w:p>
            <w:r>
              <w:t>每 4 小时</w:t>
            </w:r>
          </w:p>
        </w:tc>
      </w:tr>
      <w:tr>
        <w:tc>
          <w:tcPr>
            <w:tcW w:type="dxa" w:w="2448"/>
          </w:tcPr>
          <w:p>
            <w:r>
              <w:t>P3</w:t>
            </w:r>
          </w:p>
        </w:tc>
        <w:tc>
          <w:tcPr>
            <w:tcW w:type="dxa" w:w="2448"/>
          </w:tcPr>
          <w:p>
            <w:r>
              <w:t>一般缺陷、配置或使用咨询</w:t>
            </w:r>
          </w:p>
        </w:tc>
        <w:tc>
          <w:tcPr>
            <w:tcW w:type="dxa" w:w="2448"/>
          </w:tcPr>
          <w:p>
            <w:r>
              <w:t>1 个工作日</w:t>
            </w:r>
          </w:p>
        </w:tc>
        <w:tc>
          <w:tcPr>
            <w:tcW w:type="dxa" w:w="2448"/>
          </w:tcPr>
          <w:p>
            <w:r>
              <w:t>按工单约定</w:t>
            </w:r>
          </w:p>
        </w:tc>
      </w:tr>
    </w:tbl>
    <w:p/>
    <w:p>
      <w:pPr>
        <w:pStyle w:val="Heading2"/>
      </w:pPr>
      <w:r>
        <w:t>2.2 受理信息与升级路径</w:t>
      </w:r>
    </w:p>
    <w:p>
      <w:pPr>
        <w:spacing w:line="288" w:lineRule="auto"/>
      </w:pPr>
      <w:r>
        <w:t>工单必须包含租户标识、环境、影响开始时间、业务影响、请求 ID 或错误截图、已尝试的操作和技术联系人。若信息不足，支持人员应先请求补充而不是假定根因。P1 在 15 分钟内建立事故频道；涉及数据泄露、认证全面失败或跨租户访问风险时，同时通知安全响应团队。</w:t>
      </w:r>
    </w:p>
    <w:p>
      <w:pPr>
        <w:pStyle w:val="ListBullet"/>
      </w:pPr>
      <w:r>
        <w:t>禁止在工单、截图和附件中写入密码、完整令牌、私钥或完整支付卡信息。</w:t>
      </w:r>
    </w:p>
    <w:p>
      <w:pPr>
        <w:pStyle w:val="ListBullet"/>
      </w:pPr>
      <w:r>
        <w:t>客户升级必须指定单一负责人、下一步、下一次更新时间和关闭标准。</w:t>
      </w:r>
    </w:p>
    <w:p>
      <w:pPr>
        <w:pStyle w:val="ListBullet"/>
      </w:pPr>
      <w:r>
        <w:t>响应时间只表示人工确认接手，不代表恢复时限或赔偿资格。</w:t>
      </w:r>
    </w:p>
    <w:p>
      <w:pPr>
        <w:pStyle w:val="Heading1"/>
      </w:pPr>
      <w:r>
        <w:t>3. 事故沟通与恢复</w:t>
      </w:r>
    </w:p>
    <w:p>
      <w:pPr>
        <w:pStyle w:val="Heading2"/>
      </w:pPr>
      <w:r>
        <w:t>3.1 状态页和客户沟通</w:t>
      </w:r>
    </w:p>
    <w:p>
      <w:pPr>
        <w:spacing w:line="288" w:lineRule="auto"/>
      </w:pPr>
      <w:r>
        <w:t>确认 P1 后，通信负责人发布首条状态页信息，内容包括受影响能力、已知范围、正在采取的行动和下一次更新时间。没有新进展时仍需按节奏更新。对 Enterprise 客户的定向说明不得包含其他客户、未证实根因或内部安全细节。</w:t>
      </w:r>
    </w:p>
    <w:p>
      <w:pPr>
        <w:pStyle w:val="Heading2"/>
      </w:pPr>
      <w:r>
        <w:t>3.2 恢复判定与后续动作</w:t>
      </w:r>
    </w:p>
    <w:p>
      <w:pPr>
        <w:spacing w:line="288" w:lineRule="auto"/>
      </w:pPr>
      <w:r>
        <w:t>只有事故指挥官可以宣布恢复。恢复前应验证核心指标连续 30 分钟稳定、错误率回到基线、队列积压下降、关键客户合成探针正常且回滚风险可接受。宣布恢复后继续监控至少 60 分钟；P1 需在 5 个工作日内完成含时间线、根因、缓解和行动项的事故报告。</w:t>
      </w:r>
    </w:p>
    <w:p>
      <w:pPr>
        <w:pStyle w:val="Heading1"/>
      </w:pPr>
      <w:r>
        <w:t>4. 商业运营与服务信用</w:t>
      </w:r>
    </w:p>
    <w:p>
      <w:pPr>
        <w:pStyle w:val="Heading2"/>
      </w:pPr>
      <w:r>
        <w:t>4.1 退款、信用与账单争议</w:t>
      </w:r>
    </w:p>
    <w:p>
      <w:pPr>
        <w:spacing w:line="288" w:lineRule="auto"/>
      </w:pPr>
      <w:r>
        <w:t>服务信用仅适用于合同覆盖且经验证的服务指标未达标情形。计划维护、客户网络问题、客户配置错误、第三方身份提供商故障、不可抗力和超出合同限额通常不适用。客户须在受影响月份结束后 30 个自然日内提交租户 ID、影响日期和工单号。信用抵扣未来费用，不可兑换现金。</w:t>
      </w:r>
    </w:p>
    <w:p>
      <w:pPr>
        <w:pStyle w:val="Heading2"/>
      </w:pPr>
      <w:r>
        <w:t>4.2 续费与退出服务</w:t>
      </w:r>
    </w:p>
    <w:p>
      <w:pPr>
        <w:spacing w:line="288" w:lineRule="auto"/>
      </w:pPr>
      <w:r>
        <w:t>续费健康检查在合同到期前 120 天启动，90 天确认干系人，60 天完成价值和用量评估，30 天处理采购、安全或减量阻塞项。终止订阅后，客户在 30 天保留期内可导出数据；保留期结束后进入删除队列，备份在后续 90 天轮换周期内清除。法律保全、未结账款或安全调查可暂停删除。</w:t>
      </w:r>
    </w:p>
    <w:p>
      <w:pPr>
        <w:pStyle w:val="Heading1"/>
      </w:pPr>
      <w:r>
        <w:t>5. 记录、指标与复核</w:t>
      </w:r>
    </w:p>
    <w:p>
      <w:pPr>
        <w:spacing w:line="288" w:lineRule="auto"/>
      </w:pPr>
      <w:r>
        <w:t>服务运营每月复核 P1/P2 首次响应、客户升级时长、服务信用处理时长、重复事故、待办行动项和续费风险。所有事故、升级、信用和数据删除决定必须关联工单或受控记录，并按适用的保留策略保存。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