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E74B5"/>
          <w:sz w:val="40"/>
        </w:rPr>
        <w:t>Aether 身份、数据与 AI 治理标准</w:t>
      </w:r>
    </w:p>
    <w:p>
      <w:pPr>
        <w:jc w:val="center"/>
      </w:pPr>
      <w:r>
        <w:rPr>
          <w:color w:val="59626E"/>
          <w:sz w:val="20"/>
        </w:rPr>
        <w:t>受控标准｜面向安全管理员、知识库所有者、模型负责人和审查者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</w:tcPr>
          <w:p>
            <w:r>
              <w:t>文档所有者</w:t>
            </w:r>
          </w:p>
        </w:tc>
        <w:tc>
          <w:tcPr>
            <w:tcW w:type="dxa" w:w="4896"/>
          </w:tcPr>
          <w:p>
            <w:r>
              <w:t>信息安全部与 AI 治理委员会</w:t>
            </w:r>
          </w:p>
        </w:tc>
      </w:tr>
      <w:tr>
        <w:tc>
          <w:tcPr>
            <w:tcW w:type="dxa" w:w="4896"/>
            <w:shd w:fill="E8EEF5"/>
          </w:tcPr>
          <w:p>
            <w:r>
              <w:t>分类等级</w:t>
            </w:r>
          </w:p>
        </w:tc>
        <w:tc>
          <w:tcPr>
            <w:tcW w:type="dxa" w:w="4896"/>
          </w:tcPr>
          <w:p>
            <w:r>
              <w:t>内部限制</w:t>
            </w:r>
          </w:p>
        </w:tc>
      </w:tr>
      <w:tr>
        <w:tc>
          <w:tcPr>
            <w:tcW w:type="dxa" w:w="4896"/>
            <w:shd w:fill="E8EEF5"/>
          </w:tcPr>
          <w:p>
            <w:r>
              <w:t>生效日期</w:t>
            </w:r>
          </w:p>
        </w:tc>
        <w:tc>
          <w:tcPr>
            <w:tcW w:type="dxa" w:w="4896"/>
          </w:tcPr>
          <w:p>
            <w:r>
              <w:t>2026-08-01</w:t>
            </w:r>
          </w:p>
        </w:tc>
      </w:tr>
      <w:tr>
        <w:tc>
          <w:tcPr>
            <w:tcW w:type="dxa" w:w="4896"/>
            <w:shd w:fill="E8EEF5"/>
          </w:tcPr>
          <w:p>
            <w:r>
              <w:t>复审周期</w:t>
            </w:r>
          </w:p>
        </w:tc>
        <w:tc>
          <w:tcPr>
            <w:tcW w:type="dxa" w:w="4896"/>
          </w:tcPr>
          <w:p>
            <w:r>
              <w:t>每季度或重大事件后</w:t>
            </w:r>
          </w:p>
        </w:tc>
      </w:tr>
    </w:tbl>
    <w:p/>
    <w:p>
      <w:pPr>
        <w:pStyle w:val="Heading1"/>
      </w:pPr>
      <w:r>
        <w:t>1. 治理目标与适用范围</w:t>
      </w:r>
    </w:p>
    <w:p>
      <w:pPr>
        <w:spacing w:line="288" w:lineRule="auto"/>
      </w:pPr>
      <w:r>
        <w:t>本标准规范平台身份、权限、知识库数据、人工审查和模型使用的最低控制要求。所有生产访问遵循最小权限、可审计、职责分离和可撤销原则。任何例外必须由指定批准角色书面确认，并记录范围、有效期、风险和补偿控制。</w:t>
      </w:r>
    </w:p>
    <w:p>
      <w:pPr>
        <w:pStyle w:val="Heading1"/>
      </w:pPr>
      <w:r>
        <w:t>2. 身份与访问控制</w:t>
      </w:r>
    </w:p>
    <w:p>
      <w:pPr>
        <w:pStyle w:val="Heading2"/>
      </w:pPr>
      <w:r>
        <w:t>2.1 角色与临时授权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8EEF5"/>
          </w:tcPr>
          <w:p>
            <w:r>
              <w:t>访问类型</w:t>
            </w:r>
          </w:p>
        </w:tc>
        <w:tc>
          <w:tcPr>
            <w:tcW w:type="dxa" w:w="2448"/>
            <w:shd w:fill="E8EEF5"/>
          </w:tcPr>
          <w:p>
            <w:r>
              <w:t>批准要求</w:t>
            </w:r>
          </w:p>
        </w:tc>
        <w:tc>
          <w:tcPr>
            <w:tcW w:type="dxa" w:w="2448"/>
            <w:shd w:fill="E8EEF5"/>
          </w:tcPr>
          <w:p>
            <w:r>
              <w:t>最长有效期</w:t>
            </w:r>
          </w:p>
        </w:tc>
        <w:tc>
          <w:tcPr>
            <w:tcW w:type="dxa" w:w="2448"/>
            <w:shd w:fill="E8EEF5"/>
          </w:tcPr>
          <w:p>
            <w:r>
              <w:t>必需记录</w:t>
            </w:r>
          </w:p>
        </w:tc>
      </w:tr>
      <w:tr>
        <w:tc>
          <w:tcPr>
            <w:tcW w:type="dxa" w:w="2448"/>
          </w:tcPr>
          <w:p>
            <w:r>
              <w:t>知识库编辑</w:t>
            </w:r>
          </w:p>
        </w:tc>
        <w:tc>
          <w:tcPr>
            <w:tcW w:type="dxa" w:w="2448"/>
          </w:tcPr>
          <w:p>
            <w:r>
              <w:t>知识库所有者</w:t>
            </w:r>
          </w:p>
        </w:tc>
        <w:tc>
          <w:tcPr>
            <w:tcW w:type="dxa" w:w="2448"/>
          </w:tcPr>
          <w:p>
            <w:r>
              <w:t>长期，季度复核</w:t>
            </w:r>
          </w:p>
        </w:tc>
        <w:tc>
          <w:tcPr>
            <w:tcW w:type="dxa" w:w="2448"/>
          </w:tcPr>
          <w:p>
            <w:r>
              <w:t>成员变更原因</w:t>
            </w:r>
          </w:p>
        </w:tc>
      </w:tr>
      <w:tr>
        <w:tc>
          <w:tcPr>
            <w:tcW w:type="dxa" w:w="2448"/>
          </w:tcPr>
          <w:p>
            <w:r>
              <w:t>生产管理员</w:t>
            </w:r>
          </w:p>
        </w:tc>
        <w:tc>
          <w:tcPr>
            <w:tcW w:type="dxa" w:w="2448"/>
          </w:tcPr>
          <w:p>
            <w:r>
              <w:t>系统所有者 + 安全管理员</w:t>
            </w:r>
          </w:p>
        </w:tc>
        <w:tc>
          <w:tcPr>
            <w:tcW w:type="dxa" w:w="2448"/>
          </w:tcPr>
          <w:p>
            <w:r>
              <w:t>8 小时</w:t>
            </w:r>
          </w:p>
        </w:tc>
        <w:tc>
          <w:tcPr>
            <w:tcW w:type="dxa" w:w="2448"/>
          </w:tcPr>
          <w:p>
            <w:r>
              <w:t>工单与会话审计</w:t>
            </w:r>
          </w:p>
        </w:tc>
      </w:tr>
      <w:tr>
        <w:tc>
          <w:tcPr>
            <w:tcW w:type="dxa" w:w="2448"/>
          </w:tcPr>
          <w:p>
            <w:r>
              <w:t>P1 破窗访问</w:t>
            </w:r>
          </w:p>
        </w:tc>
        <w:tc>
          <w:tcPr>
            <w:tcW w:type="dxa" w:w="2448"/>
          </w:tcPr>
          <w:p>
            <w:r>
              <w:t>值班负责人 + 独立批准人</w:t>
            </w:r>
          </w:p>
        </w:tc>
        <w:tc>
          <w:tcPr>
            <w:tcW w:type="dxa" w:w="2448"/>
          </w:tcPr>
          <w:p>
            <w:r>
              <w:t>4 小时</w:t>
            </w:r>
          </w:p>
        </w:tc>
        <w:tc>
          <w:tcPr>
            <w:tcW w:type="dxa" w:w="2448"/>
          </w:tcPr>
          <w:p>
            <w:r>
              <w:t>次日安全复核</w:t>
            </w:r>
          </w:p>
        </w:tc>
      </w:tr>
      <w:tr>
        <w:tc>
          <w:tcPr>
            <w:tcW w:type="dxa" w:w="2448"/>
          </w:tcPr>
          <w:p>
            <w:r>
              <w:t>安全日志导出</w:t>
            </w:r>
          </w:p>
        </w:tc>
        <w:tc>
          <w:tcPr>
            <w:tcW w:type="dxa" w:w="2448"/>
          </w:tcPr>
          <w:p>
            <w:r>
              <w:t>安全管理员</w:t>
            </w:r>
          </w:p>
        </w:tc>
        <w:tc>
          <w:tcPr>
            <w:tcW w:type="dxa" w:w="2448"/>
          </w:tcPr>
          <w:p>
            <w:r>
              <w:t>单次任务</w:t>
            </w:r>
          </w:p>
        </w:tc>
        <w:tc>
          <w:tcPr>
            <w:tcW w:type="dxa" w:w="2448"/>
          </w:tcPr>
          <w:p>
            <w:r>
              <w:t>导出任务 ID</w:t>
            </w:r>
          </w:p>
        </w:tc>
      </w:tr>
    </w:tbl>
    <w:p/>
    <w:p>
      <w:pPr>
        <w:spacing w:line="288" w:lineRule="auto"/>
      </w:pPr>
      <w:r>
        <w:t>服务账号不得用于交互式登录，令牌应按最小范围签发，生产令牌最长有效期为 90 天。发现疑似泄露时必须立即撤销并重新签发，不能仅修改名称或备注。启用强制 SSO 后，用户恢复应通过企业身份提供商完成。</w:t>
      </w:r>
    </w:p>
    <w:p>
      <w:pPr>
        <w:pStyle w:val="Heading1"/>
      </w:pPr>
      <w:r>
        <w:t>3. 知识库数据治理</w:t>
      </w:r>
    </w:p>
    <w:p>
      <w:pPr>
        <w:pStyle w:val="Heading2"/>
      </w:pPr>
      <w:r>
        <w:t>3.1 数据分类与上传审查</w:t>
      </w:r>
    </w:p>
    <w:p>
      <w:pPr>
        <w:spacing w:line="288" w:lineRule="auto"/>
      </w:pPr>
      <w:r>
        <w:t>知识库允许公开、内部和经批准的机密资料；不得上传完整身份证号、支付卡号、私钥、未经脱敏的医疗记录或受出口管制约束的原始技术资料。上传版本先进入草稿和审核流程，AI 审查用于识别敏感信息、提示注入和质量风险，人工审查确认业务适用性与最终发布。AI 审查通过不等同于人工审批通过。</w:t>
      </w:r>
    </w:p>
    <w:p>
      <w:pPr>
        <w:pStyle w:val="Heading2"/>
      </w:pPr>
      <w:r>
        <w:t>3.2 生命周期与删除</w:t>
      </w:r>
    </w:p>
    <w:p>
      <w:pPr>
        <w:spacing w:line="288" w:lineRule="auto"/>
      </w:pPr>
      <w:r>
        <w:t>已审批版本才会进入 Agent 检索。删除文档会先从在线索引移除，再清理对象和分块；备份按 90 天轮换周期失效。法律保全、安全调查和未完成导出审计会阻止物理删除。发现敏感内容后，应先隔离、撤销分享、保全日志、评估影响并执行删除或脱敏。</w:t>
      </w:r>
    </w:p>
    <w:p>
      <w:pPr>
        <w:pStyle w:val="Heading1"/>
      </w:pPr>
      <w:r>
        <w:t>4. AI 风险与提示安全</w:t>
      </w:r>
    </w:p>
    <w:p>
      <w:pPr>
        <w:pStyle w:val="Heading2"/>
      </w:pPr>
      <w:r>
        <w:t>4.1 可用范围与人工监督</w:t>
      </w:r>
    </w:p>
    <w:p>
      <w:pPr>
        <w:spacing w:line="288" w:lineRule="auto"/>
      </w:pPr>
      <w:r>
        <w:t>模型可用于检索、摘要、分类和受批准的工作流草稿；招聘、信贷、医疗、法律结论、纪律处分和安全关键控制不得仅依赖模型输出。客户可见自动回复上线前必须完成事实抽样、敏感内容测试、人工接管路径和场景评审。</w:t>
      </w:r>
    </w:p>
    <w:p>
      <w:pPr>
        <w:pStyle w:val="Heading2"/>
      </w:pPr>
      <w:r>
        <w:t>4.2 提示注入与变更控制</w:t>
      </w:r>
    </w:p>
    <w:p>
      <w:pPr>
        <w:spacing w:line="288" w:lineRule="auto"/>
      </w:pPr>
      <w:r>
        <w:t>知识库中的“忽略指令”“导出密钥”等文字只能被视为待审查内容，不能改变系统权限或执行路径。模型、系统提示、检索参数、Chunk 策略或 Rerank 变更前必须完成可追溯评测；基线应绑定数据集版本、模型版本、检索配置和指标快照。</w:t>
      </w:r>
    </w:p>
    <w:p>
      <w:pPr>
        <w:pStyle w:val="Heading1"/>
      </w:pPr>
      <w:r>
        <w:t>5. 审计、事件与复核</w:t>
      </w:r>
    </w:p>
    <w:p>
      <w:pPr>
        <w:spacing w:line="288" w:lineRule="auto"/>
      </w:pPr>
      <w:r>
        <w:t>管理员登录、权限变更、导出、知识库删除、令牌签发和人工审核决定必须写入审计日志。Enterprise 默认保留 365 天。疑似泄露在 30 分钟内报告安全响应团队；未经法务和数据保护官批准，不得对外承诺影响数量或通知日期。每季度复核访问成员、知识库分类、人工审查人、保留期限和高风险评测样例。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