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6" w:name="X250b86dd97bc13b404e9dc2fe075b93aee3846c"/>
    <w:p>
      <w:pPr>
        <w:pStyle w:val="Heading1"/>
      </w:pPr>
      <w:r>
        <w:t xml:space="preserve">Team Meeting Agenda - Eleventh Team Meeting (Last Meeting)</w:t>
      </w:r>
    </w:p>
    <w:bookmarkStart w:id="13"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5"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offer flexible benefits packages where employees choose their own benefits, or standardized packages that are the same for everyone?”</w:t>
      </w:r>
    </w:p>
    <w:p>
      <w:pPr>
        <w:numPr>
          <w:ilvl w:val="0"/>
          <w:numId w:val="1001"/>
        </w:numPr>
      </w:pPr>
      <w:r>
        <w:rPr>
          <w:b/>
          <w:bCs/>
        </w:rPr>
        <w:t xml:space="preserve">Employee Advocates:</w:t>
      </w:r>
      <w:r>
        <w:t xml:space="preserve"> </w:t>
      </w:r>
      <w:r>
        <w:t xml:space="preserve">Argue that flexible benefits allow employees to customize benefits to their needs, increasing satisfaction and perceived value of compensation.</w:t>
      </w:r>
    </w:p>
    <w:p>
      <w:pPr>
        <w:numPr>
          <w:ilvl w:val="0"/>
          <w:numId w:val="1001"/>
        </w:numPr>
      </w:pPr>
      <w:r>
        <w:rPr>
          <w:b/>
          <w:bCs/>
        </w:rPr>
        <w:t xml:space="preserve">Employer Advocates:</w:t>
      </w:r>
      <w:r>
        <w:t xml:space="preserve"> </w:t>
      </w:r>
      <w:r>
        <w:t xml:space="preserve">Argue that standardized packages are easier to administer, ensure equity among employees, and may provide better group rates for certain benefits.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semester-reflection"/>
    <w:p>
      <w:pPr>
        <w:pStyle w:val="Heading3"/>
      </w:pPr>
      <w:r>
        <w:t xml:space="preserve">Semester Reflection</w:t>
      </w:r>
    </w:p>
    <w:p>
      <w:pPr>
        <w:pStyle w:val="FirstParagraph"/>
      </w:pPr>
      <w:r>
        <w:t xml:space="preserve">As this is our last team meeting, take a few minutes to reflect on the semester.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54"/>
        <w:gridCol w:w="5365"/>
      </w:tblGrid>
      <w:tr>
        <w:trPr>
          <w:tblHeader w:val="on"/>
        </w:trPr>
        <w:tc>
          <w:tcPr/>
          <w:p>
            <w:pPr>
              <w:pStyle w:val="Compact"/>
            </w:pPr>
            <w:r>
              <w:t xml:space="preserve">Question</w:t>
            </w:r>
          </w:p>
        </w:tc>
        <w:tc>
          <w:tcPr/>
          <w:p>
            <w:pPr>
              <w:pStyle w:val="Compact"/>
            </w:pPr>
            <w:r>
              <w:t xml:space="preserve">Your Team’s Thoughts</w:t>
            </w:r>
          </w:p>
        </w:tc>
      </w:tr>
      <w:tr>
        <w:tc>
          <w:tcPr/>
          <w:p>
            <w:pPr>
              <w:pStyle w:val="Compact"/>
            </w:pPr>
            <w:r>
              <w:t xml:space="preserve">What was the most valuable thing you learned from the team debates this semester?</w:t>
            </w:r>
          </w:p>
        </w:tc>
        <w:tc>
          <w:tcPr/>
          <w:p>
            <w:pPr>
              <w:pStyle w:val="Compact"/>
            </w:pPr>
          </w:p>
        </w:tc>
      </w:tr>
      <w:tr>
        <w:tc>
          <w:tcPr/>
          <w:p>
            <w:pPr>
              <w:pStyle w:val="Compact"/>
            </w:pPr>
            <w:r>
              <w:t xml:space="preserve">How has participating in these debates changed how you think about HR issues?</w:t>
            </w:r>
          </w:p>
        </w:tc>
        <w:tc>
          <w:tcPr/>
          <w:p>
            <w:pPr>
              <w:pStyle w:val="Compact"/>
            </w:pPr>
          </w:p>
        </w:tc>
      </w:tr>
      <w:tr>
        <w:tc>
          <w:tcPr/>
          <w:p>
            <w:pPr>
              <w:pStyle w:val="Compact"/>
            </w:pPr>
            <w:r>
              <w:t xml:space="preserve">What advice would you give to future students about team meetings?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2"/>
        </w:numPr>
      </w:pPr>
      <w:r>
        <w:t xml:space="preserve">Final Exam I (Comprehensive, Chapters 1-13, 15): Available during Finals Week</w:t>
      </w:r>
    </w:p>
    <w:p>
      <w:pPr>
        <w:numPr>
          <w:ilvl w:val="0"/>
          <w:numId w:val="1002"/>
        </w:numPr>
      </w:pPr>
      <w:r>
        <w:t xml:space="preserve">Final Exam II (Activities 3, 4, 5): Available during Finals Week</w:t>
      </w:r>
    </w:p>
    <w:p>
      <w:r>
        <w:pict>
          <v:rect style="width:0;height:1.5pt" o:hralign="center" o:hrstd="t" o:hr="t"/>
        </w:pict>
      </w:r>
    </w:p>
    <w:bookmarkEnd w:id="23"/>
    <w:bookmarkStart w:id="24"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11.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