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Xf656605ba87b8b335b23452101d4b1d52df5523"/>
    <w:p>
      <w:pPr>
        <w:pStyle w:val="Heading1"/>
      </w:pPr>
      <w:r>
        <w:t xml:space="preserve">Team Meeting Agenda - Fourth Team Meeting</w:t>
      </w:r>
    </w:p>
    <w:bookmarkStart w:id="12" w:name="X0375587c6314efc7f3110a649b0560621858dab"/>
    <w:p>
      <w:pPr>
        <w:pStyle w:val="Heading2"/>
      </w:pPr>
      <w:r>
        <w:t xml:space="preserve">Chapter 3 Debate: Equal Employment Opportunity</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 structured debate on an Equal Employment Opportunity topic. You will argue from either the employee or employer perspective to develop critical thinking skills about workplace issues.</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debate. The Notetaker will verbally announce the debate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discussion and ensuring all team members contribute</w:t>
      </w:r>
      <w:r>
        <w:t xml:space="preserve"> </w:t>
      </w:r>
      <w:r>
        <w:t xml:space="preserve">2. Managing time during the meeting</w:t>
      </w:r>
      <w:r>
        <w:t xml:space="preserve"> </w:t>
      </w:r>
      <w:r>
        <w:t xml:space="preserve">3. Recording key points from the discussion</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assign-roles-for-todays-debate"/>
    <w:p>
      <w:pPr>
        <w:pStyle w:val="Heading3"/>
      </w:pPr>
      <w:r>
        <w:t xml:space="preserve">[1 minute] Assign Roles for Today’s Debate</w:t>
      </w:r>
    </w:p>
    <w:p>
      <w:pPr>
        <w:pStyle w:val="FirstParagraph"/>
      </w:pPr>
      <w:r>
        <w:t xml:space="preserve">Divide your team into Employee Advocates and Employer Advocates. The Notetaker will facilitate and record the debate.</w:t>
      </w:r>
    </w:p>
    <w:p>
      <w:pPr>
        <w:pStyle w:val="BodyText"/>
      </w:pPr>
      <w:r>
        <w:rPr>
          <w:b/>
          <w:bCs/>
        </w:rPr>
        <w:t xml:space="preserve">Tip:</w:t>
      </w:r>
      <w:r>
        <w:t xml:space="preserve"> </w:t>
      </w:r>
      <w:r>
        <w:t xml:space="preserve">If you were on the Employee side last week, switch to the Employer side this week.</w:t>
      </w:r>
    </w:p>
    <w:p>
      <w:pPr>
        <w:pStyle w:val="BlockText"/>
      </w:pPr>
      <w:r>
        <w:rPr>
          <w:b/>
          <w:bCs/>
        </w:rPr>
        <w:t xml:space="preserve">Note:</w:t>
      </w:r>
      <w:r>
        <w:t xml:space="preserve"> </w:t>
      </w:r>
      <w:r>
        <w:t xml:space="preserve">The Notetaker must also choose either the Employee or Employer side. Write the Notetaker’s name in both the Notetaker row AND their chosen advocate row.</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Name(s)</w:t>
            </w:r>
          </w:p>
        </w:tc>
      </w:tr>
      <w:tr>
        <w:tc>
          <w:tcPr>
            <w:tcW w:type="dxa" w:w="4680"/>
          </w:tcPr>
          <w:p>
            <w:pPr>
              <w:pStyle w:val="Compact"/>
            </w:pPr>
            <w:r>
              <w:t xml:space="preserve">Employee Advocate(s)</w:t>
            </w:r>
          </w:p>
        </w:tc>
        <w:tc>
          <w:tcPr>
            <w:tcW w:type="dxa" w:w="4680"/>
          </w:tcPr>
          <w:p>
            <w:pPr>
              <w:pStyle w:val="Compact"/>
            </w:pPr>
          </w:p>
        </w:tc>
      </w:tr>
      <w:tr>
        <w:tc>
          <w:tcPr>
            <w:tcW w:type="dxa" w:w="4680"/>
          </w:tcPr>
          <w:p>
            <w:pPr>
              <w:pStyle w:val="Compact"/>
            </w:pPr>
            <w:r>
              <w:t xml:space="preserve">Employer Advocate(s)</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15"/>
    <w:bookmarkStart w:id="16" w:name="minute-select-todays-debate-topics"/>
    <w:p>
      <w:pPr>
        <w:pStyle w:val="Heading3"/>
      </w:pPr>
      <w:r>
        <w:t xml:space="preserve">[1 minute] Select Today’s Debate Topics</w:t>
      </w:r>
    </w:p>
    <w:p>
      <w:pPr>
        <w:pStyle w:val="FirstParagraph"/>
      </w:pPr>
      <w:r>
        <w:t xml:space="preserve">Choose</w:t>
      </w:r>
      <w:r>
        <w:t xml:space="preserve"> </w:t>
      </w:r>
      <w:r>
        <w:rPr>
          <w:b/>
          <w:bCs/>
        </w:rPr>
        <w:t xml:space="preserve">2 topics</w:t>
      </w:r>
      <w:r>
        <w:t xml:space="preserve"> </w:t>
      </w:r>
      <w:r>
        <w:t xml:space="preserve">from the list below to debate today.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Debate 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companies implement affirmative action programs to increase diversity?</w:t>
            </w:r>
          </w:p>
        </w:tc>
        <w:tc>
          <w:tcPr>
            <w:tcW w:type="dxa" w:w="2340"/>
          </w:tcPr>
          <w:p>
            <w:pPr>
              <w:pStyle w:val="Compact"/>
            </w:pPr>
            <w:r>
              <w:t xml:space="preserve">Affirmative action corrects historical discrimination and creates opportunities</w:t>
            </w:r>
          </w:p>
        </w:tc>
        <w:tc>
          <w:tcPr>
            <w:tcW w:type="dxa" w:w="2340"/>
          </w:tcPr>
          <w:p>
            <w:pPr>
              <w:pStyle w:val="Compact"/>
            </w:pPr>
            <w:r>
              <w:t xml:space="preserve">Hiring should be based solely on merit; diversity can be achieved through other means</w:t>
            </w:r>
          </w:p>
        </w:tc>
      </w:tr>
      <w:tr>
        <w:tc>
          <w:tcPr>
            <w:tcW w:type="dxa" w:w="2340"/>
          </w:tcPr>
          <w:p>
            <w:pPr>
              <w:pStyle w:val="Compact"/>
            </w:pPr>
            <w:r>
              <w:t xml:space="preserve">2</w:t>
            </w:r>
          </w:p>
        </w:tc>
        <w:tc>
          <w:tcPr>
            <w:tcW w:type="dxa" w:w="2340"/>
          </w:tcPr>
          <w:p>
            <w:pPr>
              <w:pStyle w:val="Compact"/>
            </w:pPr>
            <w:r>
              <w:t xml:space="preserve">Should employers be allowed to ask about salary history during hiring?</w:t>
            </w:r>
          </w:p>
        </w:tc>
        <w:tc>
          <w:tcPr>
            <w:tcW w:type="dxa" w:w="2340"/>
          </w:tcPr>
          <w:p>
            <w:pPr>
              <w:pStyle w:val="Compact"/>
            </w:pPr>
            <w:r>
              <w:t xml:space="preserve">Salary history perpetuates pay gaps and discrimination</w:t>
            </w:r>
          </w:p>
        </w:tc>
        <w:tc>
          <w:tcPr>
            <w:tcW w:type="dxa" w:w="2340"/>
          </w:tcPr>
          <w:p>
            <w:pPr>
              <w:pStyle w:val="Compact"/>
            </w:pPr>
            <w:r>
              <w:t xml:space="preserve">Salary history helps determine fair compensation and budget fit</w:t>
            </w:r>
          </w:p>
        </w:tc>
      </w:tr>
      <w:tr>
        <w:tc>
          <w:tcPr>
            <w:tcW w:type="dxa" w:w="2340"/>
          </w:tcPr>
          <w:p>
            <w:pPr>
              <w:pStyle w:val="Compact"/>
            </w:pPr>
            <w:r>
              <w:t xml:space="preserve">3</w:t>
            </w:r>
          </w:p>
        </w:tc>
        <w:tc>
          <w:tcPr>
            <w:tcW w:type="dxa" w:w="2340"/>
          </w:tcPr>
          <w:p>
            <w:pPr>
              <w:pStyle w:val="Compact"/>
            </w:pPr>
            <w:r>
              <w:t xml:space="preserve">Should companies set specific diversity quotas for hiring?</w:t>
            </w:r>
          </w:p>
        </w:tc>
        <w:tc>
          <w:tcPr>
            <w:tcW w:type="dxa" w:w="2340"/>
          </w:tcPr>
          <w:p>
            <w:pPr>
              <w:pStyle w:val="Compact"/>
            </w:pPr>
            <w:r>
              <w:t xml:space="preserve">Quotas ensure accountability and measurable progress</w:t>
            </w:r>
          </w:p>
        </w:tc>
        <w:tc>
          <w:tcPr>
            <w:tcW w:type="dxa" w:w="2340"/>
          </w:tcPr>
          <w:p>
            <w:pPr>
              <w:pStyle w:val="Compact"/>
            </w:pPr>
            <w:r>
              <w:t xml:space="preserve">Quotas may lead to tokenism and undermine merit-based hiring</w:t>
            </w:r>
          </w:p>
        </w:tc>
      </w:tr>
      <w:tr>
        <w:tc>
          <w:tcPr>
            <w:tcW w:type="dxa" w:w="2340"/>
          </w:tcPr>
          <w:p>
            <w:pPr>
              <w:pStyle w:val="Compact"/>
            </w:pPr>
            <w:r>
              <w:t xml:space="preserve">4</w:t>
            </w:r>
          </w:p>
        </w:tc>
        <w:tc>
          <w:tcPr>
            <w:tcW w:type="dxa" w:w="2340"/>
          </w:tcPr>
          <w:p>
            <w:pPr>
              <w:pStyle w:val="Compact"/>
            </w:pPr>
            <w:r>
              <w:t xml:space="preserve">Should employers conduct background checks on all applicants?</w:t>
            </w:r>
          </w:p>
        </w:tc>
        <w:tc>
          <w:tcPr>
            <w:tcW w:type="dxa" w:w="2340"/>
          </w:tcPr>
          <w:p>
            <w:pPr>
              <w:pStyle w:val="Compact"/>
            </w:pPr>
            <w:r>
              <w:t xml:space="preserve">Background checks can unfairly exclude rehabilitated individuals</w:t>
            </w:r>
          </w:p>
        </w:tc>
        <w:tc>
          <w:tcPr>
            <w:tcW w:type="dxa" w:w="2340"/>
          </w:tcPr>
          <w:p>
            <w:pPr>
              <w:pStyle w:val="Compact"/>
            </w:pPr>
            <w:r>
              <w:t xml:space="preserve">Background checks protect workplace safety and company reputation</w:t>
            </w:r>
          </w:p>
        </w:tc>
      </w:tr>
      <w:tr>
        <w:tc>
          <w:tcPr>
            <w:tcW w:type="dxa" w:w="2340"/>
          </w:tcPr>
          <w:p>
            <w:pPr>
              <w:pStyle w:val="Compact"/>
            </w:pPr>
            <w:r>
              <w:t xml:space="preserve">5</w:t>
            </w:r>
          </w:p>
        </w:tc>
        <w:tc>
          <w:tcPr>
            <w:tcW w:type="dxa" w:w="2340"/>
          </w:tcPr>
          <w:p>
            <w:pPr>
              <w:pStyle w:val="Compact"/>
            </w:pPr>
            <w:r>
              <w:t xml:space="preserve">Should religious accommodations in the workplace be unlimited?</w:t>
            </w:r>
          </w:p>
        </w:tc>
        <w:tc>
          <w:tcPr>
            <w:tcW w:type="dxa" w:w="2340"/>
          </w:tcPr>
          <w:p>
            <w:pPr>
              <w:pStyle w:val="Compact"/>
            </w:pPr>
            <w:r>
              <w:t xml:space="preserve">Religious freedom is a fundamental right that should be fully protected</w:t>
            </w:r>
          </w:p>
        </w:tc>
        <w:tc>
          <w:tcPr>
            <w:tcW w:type="dxa" w:w="2340"/>
          </w:tcPr>
          <w:p>
            <w:pPr>
              <w:pStyle w:val="Compact"/>
            </w:pPr>
            <w:r>
              <w:t xml:space="preserve">Unlimited accommodations may disrupt operations and create unfairness</w:t>
            </w:r>
          </w:p>
        </w:tc>
      </w:tr>
      <w:tr>
        <w:tc>
          <w:tcPr>
            <w:tcW w:type="dxa" w:w="2340"/>
          </w:tcPr>
          <w:p>
            <w:pPr>
              <w:pStyle w:val="Compact"/>
            </w:pPr>
            <w:r>
              <w:t xml:space="preserve">6</w:t>
            </w:r>
          </w:p>
        </w:tc>
        <w:tc>
          <w:tcPr>
            <w:tcW w:type="dxa" w:w="2340"/>
          </w:tcPr>
          <w:p>
            <w:pPr>
              <w:pStyle w:val="Compact"/>
            </w:pPr>
            <w:r>
              <w:t xml:space="preserve">Should companies be required to provide equal pay transparency?</w:t>
            </w:r>
          </w:p>
        </w:tc>
        <w:tc>
          <w:tcPr>
            <w:tcW w:type="dxa" w:w="2340"/>
          </w:tcPr>
          <w:p>
            <w:pPr>
              <w:pStyle w:val="Compact"/>
            </w:pPr>
            <w:r>
              <w:t xml:space="preserve">Transparency helps identify and correct pay discrimination</w:t>
            </w:r>
          </w:p>
        </w:tc>
        <w:tc>
          <w:tcPr>
            <w:tcW w:type="dxa" w:w="2340"/>
          </w:tcPr>
          <w:p>
            <w:pPr>
              <w:pStyle w:val="Compact"/>
            </w:pPr>
            <w:r>
              <w:t xml:space="preserve">Salary disclosure may cause workplace tension and privacy concerns</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1st</w:t>
            </w:r>
          </w:p>
        </w:tc>
        <w:tc>
          <w:tcPr>
            <w:tcW w:type="dxa" w:w="3120"/>
          </w:tcPr>
          <w:p>
            <w:pPr>
              <w:pStyle w:val="Compact"/>
            </w:pPr>
          </w:p>
        </w:tc>
        <w:tc>
          <w:tcPr>
            <w:tcW w:type="dxa" w:w="3120"/>
          </w:tcPr>
          <w:p>
            <w:pPr>
              <w:pStyle w:val="Compact"/>
            </w:pPr>
          </w:p>
        </w:tc>
      </w:tr>
      <w:tr>
        <w:tc>
          <w:tcPr>
            <w:tcW w:type="dxa" w:w="3120"/>
          </w:tcPr>
          <w:p>
            <w:pPr>
              <w:pStyle w:val="Compact"/>
            </w:pPr>
            <w:r>
              <w:t xml:space="preserve">2nd</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Before the debate begins, take out a piece of paper and brainstorm your arguments individually for 6 minutes.</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debate-rounds-12-minutes-total"/>
    <w:p>
      <w:pPr>
        <w:pStyle w:val="Heading2"/>
      </w:pPr>
      <w:r>
        <w:t xml:space="preserve">Debate Rounds [12 minutes total]</w:t>
      </w:r>
    </w:p>
    <w:p>
      <w:pPr>
        <w:pStyle w:val="FirstParagraph"/>
      </w:pPr>
      <w:r>
        <w:t xml:space="preserve">For each topic (6 min each), both sides present their arguments, rebut, and share key takeaways.</w:t>
      </w:r>
    </w:p>
    <w:p>
      <w:r>
        <w:pict>
          <v:rect style="width:0;height:1.5pt" o:hralign="center" o:hrstd="t" o:hr="t"/>
        </w:pict>
      </w:r>
    </w:p>
    <w:bookmarkStart w:id="19" w:name="topic-1-_______________"/>
    <w:p>
      <w:pPr>
        <w:pStyle w:val="Heading3"/>
      </w:pPr>
      <w:r>
        <w:t xml:space="preserve">Topic 1: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19"/>
    <w:bookmarkStart w:id="20" w:name="topic-2-_______________"/>
    <w:p>
      <w:pPr>
        <w:pStyle w:val="Heading3"/>
      </w:pPr>
      <w:r>
        <w:t xml:space="preserve">Topic 2: _______________</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Phase</w:t>
            </w:r>
          </w:p>
        </w:tc>
        <w:tc>
          <w:tcPr>
            <w:tcW w:type="dxa" w:w="3120"/>
          </w:tcPr>
          <w:p>
            <w:pPr>
              <w:pStyle w:val="Compact"/>
            </w:pPr>
            <w:r>
              <w:t xml:space="preserve">Employee Side</w:t>
            </w:r>
          </w:p>
        </w:tc>
        <w:tc>
          <w:tcPr>
            <w:tcW w:type="dxa" w:w="3120"/>
          </w:tcPr>
          <w:p>
            <w:pPr>
              <w:pStyle w:val="Compact"/>
            </w:pPr>
            <w:r>
              <w:t xml:space="preserve">Employer Side</w:t>
            </w:r>
          </w:p>
        </w:tc>
      </w:tr>
      <w:tr>
        <w:tc>
          <w:tcPr>
            <w:tcW w:type="dxa" w:w="3120"/>
          </w:tcPr>
          <w:p>
            <w:pPr>
              <w:pStyle w:val="Compact"/>
            </w:pPr>
            <w:r>
              <w:t xml:space="preserve">Opening (1 min each)</w:t>
            </w:r>
          </w:p>
        </w:tc>
        <w:tc>
          <w:tcPr>
            <w:tcW w:type="dxa" w:w="3120"/>
          </w:tcPr>
          <w:p>
            <w:pPr>
              <w:pStyle w:val="Compact"/>
            </w:pPr>
          </w:p>
        </w:tc>
        <w:tc>
          <w:tcPr>
            <w:tcW w:type="dxa" w:w="3120"/>
          </w:tcPr>
          <w:p>
            <w:pPr>
              <w:pStyle w:val="Compact"/>
            </w:pPr>
          </w:p>
        </w:tc>
      </w:tr>
      <w:tr>
        <w:tc>
          <w:tcPr>
            <w:tcW w:type="dxa" w:w="3120"/>
          </w:tcPr>
          <w:p>
            <w:pPr>
              <w:pStyle w:val="Compact"/>
            </w:pPr>
            <w:r>
              <w:t xml:space="preserve">Rebuttal (1 min each)</w:t>
            </w:r>
          </w:p>
        </w:tc>
        <w:tc>
          <w:tcPr>
            <w:tcW w:type="dxa" w:w="3120"/>
          </w:tcPr>
          <w:p>
            <w:pPr>
              <w:pStyle w:val="Compact"/>
            </w:pPr>
          </w:p>
        </w:tc>
        <w:tc>
          <w:tcPr>
            <w:tcW w:type="dxa" w:w="3120"/>
          </w:tcPr>
          <w:p>
            <w:pPr>
              <w:pStyle w:val="Compact"/>
            </w:pPr>
          </w:p>
        </w:tc>
      </w:tr>
      <w:tr>
        <w:tc>
          <w:tcPr>
            <w:tcW w:type="dxa" w:w="3120"/>
          </w:tcPr>
          <w:p>
            <w:pPr>
              <w:pStyle w:val="Compact"/>
            </w:pPr>
            <w:r>
              <w:t xml:space="preserve">Key Takeaway</w:t>
            </w:r>
          </w:p>
        </w:tc>
        <w:tc>
          <w:tcPr>
            <w:tcW w:type="dxa" w:w="3120"/>
          </w:tcPr>
          <w:p>
            <w:pPr>
              <w:pStyle w:val="Compact"/>
            </w:pPr>
          </w:p>
        </w:tc>
        <w:tc>
          <w:tcPr>
            <w:tcW w:type="dxa" w:w="3120"/>
          </w:tcPr>
          <w:p>
            <w:pPr>
              <w:pStyle w:val="Compact"/>
            </w:pPr>
          </w:p>
        </w:tc>
      </w:tr>
    </w:tbl>
    <w:p>
      <w:r>
        <w:pict>
          <v:rect style="width:0;height:1.5pt" o:hralign="center" o:hrstd="t" o:hr="t"/>
        </w:pict>
      </w:r>
    </w:p>
    <w:bookmarkEnd w:id="20"/>
    <w:bookmarkStart w:id="21" w:name="minutes-final-reflection"/>
    <w:p>
      <w:pPr>
        <w:pStyle w:val="Heading3"/>
      </w:pPr>
      <w:r>
        <w:t xml:space="preserve">[8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most debatable? Why?</w:t>
            </w:r>
          </w:p>
        </w:tc>
        <w:tc>
          <w:tcPr>
            <w:tcW w:type="dxa" w:w="4680"/>
          </w:tcPr>
          <w:p>
            <w:pPr>
              <w:pStyle w:val="Compact"/>
            </w:pPr>
          </w:p>
        </w:tc>
      </w:tr>
      <w:tr>
        <w:tc>
          <w:tcPr>
            <w:tcW w:type="dxa" w:w="4680"/>
          </w:tcPr>
          <w:p>
            <w:pPr>
              <w:pStyle w:val="Compact"/>
            </w:pPr>
            <w:r>
              <w:t xml:space="preserve">What did you learn from the opposing view?</w:t>
            </w:r>
          </w:p>
        </w:tc>
        <w:tc>
          <w:tcPr>
            <w:tcW w:type="dxa" w:w="4680"/>
          </w:tcPr>
          <w:p>
            <w:pPr>
              <w:pStyle w:val="Compact"/>
            </w:pPr>
          </w:p>
        </w:tc>
      </w:tr>
      <w:tr>
        <w:tc>
          <w:tcPr>
            <w:tcW w:type="dxa" w:w="4680"/>
          </w:tcPr>
          <w:p>
            <w:pPr>
              <w:pStyle w:val="Compact"/>
            </w:pPr>
            <w:r>
              <w:t xml:space="preserve">Any common ground found across topics?</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