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able-of-contents"/>
    <w:p>
      <w:pPr>
        <w:pStyle w:val="Heading2"/>
      </w:pPr>
      <w:r>
        <w:t xml:space="preserve">Table of Contents</w:t>
      </w:r>
    </w:p>
    <w:p>
      <w:pPr>
        <w:numPr>
          <w:ilvl w:val="0"/>
          <w:numId w:val="1001"/>
        </w:numPr>
      </w:pPr>
      <w:hyperlink w:anchor="overview">
        <w:r>
          <w:rPr>
            <w:rStyle w:val="Hyperlink"/>
            <w:color w:val="0066CC"/>
            <w:u w:val="single"/>
          </w:rPr>
          <w:t xml:space="preserve">Overview</w:t>
        </w:r>
      </w:hyperlink>
    </w:p>
    <w:p>
      <w:pPr>
        <w:numPr>
          <w:ilvl w:val="0"/>
          <w:numId w:val="1001"/>
        </w:numPr>
      </w:pPr>
      <w:hyperlink w:anchor="objective">
        <w:r>
          <w:rPr>
            <w:rStyle w:val="Hyperlink"/>
            <w:color w:val="0066CC"/>
            <w:u w:val="single"/>
          </w:rPr>
          <w:t xml:space="preserve">Objective</w:t>
        </w:r>
      </w:hyperlink>
    </w:p>
    <w:p>
      <w:pPr>
        <w:numPr>
          <w:ilvl w:val="0"/>
          <w:numId w:val="1001"/>
        </w:numPr>
      </w:pPr>
      <w:hyperlink w:anchor="team-roles-and-preparation">
        <w:r>
          <w:rPr>
            <w:rStyle w:val="Hyperlink"/>
            <w:color w:val="0066CC"/>
            <w:u w:val="single"/>
          </w:rPr>
          <w:t xml:space="preserve">Team Roles and Preparation</w:t>
        </w:r>
      </w:hyperlink>
    </w:p>
    <w:p>
      <w:pPr>
        <w:numPr>
          <w:ilvl w:val="0"/>
          <w:numId w:val="1001"/>
        </w:numPr>
      </w:pPr>
      <w:hyperlink w:anchor="debate-structure-(25-30-minutes)">
        <w:r>
          <w:rPr>
            <w:rStyle w:val="Hyperlink"/>
            <w:color w:val="0066CC"/>
            <w:u w:val="single"/>
          </w:rPr>
          <w:t xml:space="preserve">Debate Structure (25-30 minutes)</w:t>
        </w:r>
      </w:hyperlink>
    </w:p>
    <w:p>
      <w:pPr>
        <w:numPr>
          <w:ilvl w:val="0"/>
          <w:numId w:val="1001"/>
        </w:numPr>
      </w:pPr>
      <w:hyperlink w:anchor="evaluation-rubric">
        <w:r>
          <w:rPr>
            <w:rStyle w:val="Hyperlink"/>
            <w:color w:val="0066CC"/>
            <w:u w:val="single"/>
          </w:rPr>
          <w:t xml:space="preserve">Evaluation Rubric</w:t>
        </w:r>
      </w:hyperlink>
    </w:p>
    <w:p>
      <w:pPr>
        <w:numPr>
          <w:ilvl w:val="0"/>
          <w:numId w:val="1001"/>
        </w:numPr>
      </w:pPr>
      <w:hyperlink w:anchor="after-the-meeting">
        <w:r>
          <w:rPr>
            <w:rStyle w:val="Hyperlink"/>
            <w:color w:val="0066CC"/>
            <w:u w:val="single"/>
          </w:rPr>
          <w:t xml:space="preserve">After the Meeting</w:t>
        </w:r>
      </w:hyperlink>
    </w:p>
    <w:p>
      <w:pPr>
        <w:numPr>
          <w:ilvl w:val="0"/>
          <w:numId w:val="1001"/>
        </w:numPr>
      </w:pPr>
      <w:hyperlink w:anchor="self-and-peer-review-evaluation">
        <w:r>
          <w:rPr>
            <w:rStyle w:val="Hyperlink"/>
            <w:color w:val="0066CC"/>
            <w:u w:val="single"/>
          </w:rPr>
          <w:t xml:space="preserve">Self and Peer Review Evaluation</w:t>
        </w:r>
      </w:hyperlink>
    </w:p>
    <w:p>
      <w:pPr>
        <w:numPr>
          <w:ilvl w:val="0"/>
          <w:numId w:val="1001"/>
        </w:numPr>
      </w:pPr>
      <w:hyperlink w:anchor="frequently-asked-questions">
        <w:r>
          <w:rPr>
            <w:rStyle w:val="Hyperlink"/>
            <w:color w:val="0066CC"/>
            <w:u w:val="single"/>
          </w:rPr>
          <w:t xml:space="preserve">Frequently Asked Questions</w:t>
        </w:r>
      </w:hyperlink>
    </w:p>
    <w:p>
      <w:r>
        <w:pict>
          <v:rect style="width:0;height:1.5pt" o:hralign="center" o:hrstd="t" o:hr="t"/>
        </w:pict>
      </w:r>
    </w:p>
    <w:bookmarkEnd w:id="9"/>
    <w:bookmarkStart w:id="10" w:name="overview"/>
    <w:p>
      <w:pPr>
        <w:pStyle w:val="Heading2"/>
      </w:pPr>
      <w:r>
        <w:t xml:space="preserve">Overview</w:t>
      </w:r>
    </w:p>
    <w:p>
      <w:pPr>
        <w:pStyle w:val="FirstParagraph"/>
      </w:pPr>
      <w:r>
        <w:t xml:space="preserve">Teams are assigned at the start of the semester and remain the same throughout the course. Each week during class, teams will engage in a structured debate on a topic provided by the instructor. This debate format ensures active verbal participation from all team members.</w:t>
      </w:r>
    </w:p>
    <w:bookmarkEnd w:id="10"/>
    <w:bookmarkStart w:id="11" w:name="objective"/>
    <w:p>
      <w:pPr>
        <w:pStyle w:val="Heading2"/>
      </w:pPr>
      <w:r>
        <w:t xml:space="preserve">Objective</w:t>
      </w:r>
    </w:p>
    <w:p>
      <w:pPr>
        <w:numPr>
          <w:ilvl w:val="0"/>
          <w:numId w:val="1002"/>
        </w:numPr>
      </w:pPr>
      <w:r>
        <w:t xml:space="preserve">Demonstrate mastery of course material through active debate</w:t>
      </w:r>
    </w:p>
    <w:p>
      <w:pPr>
        <w:numPr>
          <w:ilvl w:val="0"/>
          <w:numId w:val="1002"/>
        </w:numPr>
      </w:pPr>
      <w:r>
        <w:t xml:space="preserve">Develop critical thinking by arguing from assigned perspectives</w:t>
      </w:r>
    </w:p>
    <w:p>
      <w:pPr>
        <w:numPr>
          <w:ilvl w:val="0"/>
          <w:numId w:val="1002"/>
        </w:numPr>
      </w:pPr>
      <w:r>
        <w:t xml:space="preserve">Build communication and persuasion skills</w:t>
      </w:r>
    </w:p>
    <w:p>
      <w:pPr>
        <w:numPr>
          <w:ilvl w:val="0"/>
          <w:numId w:val="1002"/>
        </w:numPr>
      </w:pPr>
      <w:r>
        <w:t xml:space="preserve">Understand both employee and employer viewpoints on workplace issues</w:t>
      </w:r>
    </w:p>
    <w:bookmarkEnd w:id="11"/>
    <w:bookmarkStart w:id="15" w:name="team-roles-and-preparation"/>
    <w:p>
      <w:pPr>
        <w:pStyle w:val="Heading2"/>
      </w:pPr>
      <w:r>
        <w:t xml:space="preserve">Team Roles and Preparation</w:t>
      </w:r>
    </w:p>
    <w:bookmarkStart w:id="12" w:name="roles"/>
    <w:p>
      <w:pPr>
        <w:pStyle w:val="Heading3"/>
      </w:pPr>
      <w:r>
        <w:t xml:space="preserve">Roles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Responsibilities</w:t>
            </w:r>
          </w:p>
        </w:tc>
      </w:tr>
      <w:tr>
        <w:tc>
          <w:tcPr>
            <w:tcW w:type="dxa" w:w="4680"/>
          </w:tcPr>
          <w:p>
            <w:pPr>
              <w:pStyle w:val="Compact"/>
            </w:pPr>
            <w:r>
              <w:t xml:space="preserve">Employee Advocate(s)</w:t>
            </w:r>
          </w:p>
        </w:tc>
        <w:tc>
          <w:tcPr>
            <w:tcW w:type="dxa" w:w="4680"/>
          </w:tcPr>
          <w:p>
            <w:pPr>
              <w:pStyle w:val="Compact"/>
            </w:pPr>
            <w:r>
              <w:t xml:space="preserve">Argue from the employee’s perspective</w:t>
            </w:r>
          </w:p>
        </w:tc>
      </w:tr>
      <w:tr>
        <w:tc>
          <w:tcPr>
            <w:tcW w:type="dxa" w:w="4680"/>
          </w:tcPr>
          <w:p>
            <w:pPr>
              <w:pStyle w:val="Compact"/>
            </w:pPr>
            <w:r>
              <w:t xml:space="preserve">Employer Advocate(s)</w:t>
            </w:r>
          </w:p>
        </w:tc>
        <w:tc>
          <w:tcPr>
            <w:tcW w:type="dxa" w:w="4680"/>
          </w:tcPr>
          <w:p>
            <w:pPr>
              <w:pStyle w:val="Compact"/>
            </w:pPr>
            <w:r>
              <w:t xml:space="preserve">Argue from the employer’s perspective</w:t>
            </w:r>
          </w:p>
        </w:tc>
      </w:tr>
      <w:tr>
        <w:tc>
          <w:tcPr>
            <w:tcW w:type="dxa" w:w="4680"/>
          </w:tcPr>
          <w:p>
            <w:pPr>
              <w:pStyle w:val="Compact"/>
            </w:pPr>
            <w:r>
              <w:t xml:space="preserve">Notetaker</w:t>
            </w:r>
          </w:p>
        </w:tc>
        <w:tc>
          <w:tcPr>
            <w:tcW w:type="dxa" w:w="4680"/>
          </w:tcPr>
          <w:p>
            <w:pPr>
              <w:pStyle w:val="Compact"/>
            </w:pPr>
            <w:r>
              <w:t xml:space="preserve">Facilitate the debate, manage time, and record key points</w:t>
            </w:r>
          </w:p>
        </w:tc>
      </w:tr>
    </w:tbl>
    <w:bookmarkEnd w:id="12"/>
    <w:bookmarkStart w:id="13" w:name="role-distribution"/>
    <w:p>
      <w:pPr>
        <w:pStyle w:val="Heading3"/>
      </w:pPr>
      <w:r>
        <w:t xml:space="preserve">Role Distribution</w:t>
      </w:r>
    </w:p>
    <w:p>
      <w:pPr>
        <w:numPr>
          <w:ilvl w:val="0"/>
          <w:numId w:val="1003"/>
        </w:numPr>
      </w:pPr>
      <w:r>
        <w:t xml:space="preserve">Divide team members between Employee and Employer sides as evenly as possible</w:t>
      </w:r>
    </w:p>
    <w:p>
      <w:pPr>
        <w:numPr>
          <w:ilvl w:val="0"/>
          <w:numId w:val="1003"/>
        </w:numPr>
      </w:pPr>
      <w:r>
        <w:t xml:space="preserve">If you were on the Employee side this week, switch to the Employer side next week</w:t>
      </w:r>
    </w:p>
    <w:p>
      <w:pPr>
        <w:numPr>
          <w:ilvl w:val="0"/>
          <w:numId w:val="1003"/>
        </w:numPr>
      </w:pPr>
      <w:r>
        <w:t xml:space="preserve">The Notetaker role also rotates weekly</w:t>
      </w:r>
    </w:p>
    <w:p>
      <w:pPr>
        <w:numPr>
          <w:ilvl w:val="0"/>
          <w:numId w:val="1003"/>
        </w:numPr>
      </w:pPr>
      <w:r>
        <w:t xml:space="preserve">Everyone should experience all roles throughout the semester</w:t>
      </w:r>
    </w:p>
    <w:bookmarkEnd w:id="13"/>
    <w:bookmarkStart w:id="14" w:name="before-the-meeting"/>
    <w:p>
      <w:pPr>
        <w:pStyle w:val="Heading3"/>
      </w:pPr>
      <w:r>
        <w:t xml:space="preserve">Before the Meeting</w:t>
      </w:r>
    </w:p>
    <w:p>
      <w:pPr>
        <w:pStyle w:val="FirstParagraph"/>
      </w:pPr>
      <w:r>
        <w:t xml:space="preserve">The Notetaker must prepare for the meeting:</w:t>
      </w:r>
    </w:p>
    <w:p>
      <w:pPr>
        <w:pStyle w:val="Compact"/>
        <w:numPr>
          <w:ilvl w:val="0"/>
          <w:numId w:val="1004"/>
        </w:numPr>
      </w:pPr>
      <w:r>
        <w:t xml:space="preserve">Bring a laptop with a physical keyboard (iPads and tablets are not allowed)</w:t>
      </w:r>
    </w:p>
    <w:p>
      <w:pPr>
        <w:pStyle w:val="Compact"/>
        <w:numPr>
          <w:ilvl w:val="0"/>
          <w:numId w:val="1004"/>
        </w:numPr>
      </w:pPr>
      <w:r>
        <w:t xml:space="preserve">Download the team meeting agenda from the syllabus as a Word document</w:t>
      </w:r>
    </w:p>
    <w:p>
      <w:pPr>
        <w:pStyle w:val="Compact"/>
        <w:numPr>
          <w:ilvl w:val="0"/>
          <w:numId w:val="1004"/>
        </w:numPr>
      </w:pPr>
      <w:r>
        <w:t xml:space="preserve">Review the debate topic for the week</w:t>
      </w:r>
    </w:p>
    <w:p>
      <w:pPr>
        <w:pStyle w:val="Compact"/>
        <w:numPr>
          <w:ilvl w:val="0"/>
          <w:numId w:val="1004"/>
        </w:numPr>
      </w:pPr>
      <w:r>
        <w:t xml:space="preserve">Be ready to facilitate and record the discussion</w:t>
      </w:r>
    </w:p>
    <w:p>
      <w:pPr>
        <w:pStyle w:val="FirstParagraph"/>
      </w:pPr>
      <w:r>
        <w:rPr>
          <w:b/>
          <w:bCs/>
        </w:rPr>
        <w:t xml:space="preserve">Important:</w:t>
      </w:r>
      <w:r>
        <w:t xml:space="preserve"> </w:t>
      </w:r>
      <w:r>
        <w:t xml:space="preserve">Only the Notetaker may use a laptop during the meeting. All other team members must participate without electronic devices, textbooks, or any reference materials.</w:t>
      </w:r>
    </w:p>
    <w:bookmarkEnd w:id="14"/>
    <w:bookmarkEnd w:id="15"/>
    <w:bookmarkStart w:id="20" w:name="debate-structure-25-30-minutes"/>
    <w:p>
      <w:pPr>
        <w:pStyle w:val="Heading2"/>
      </w:pPr>
      <w:r>
        <w:t xml:space="preserve">Debate Structure (25-30 minutes)</w:t>
      </w:r>
    </w:p>
    <w:p>
      <w:pPr>
        <w:pStyle w:val="FirstParagraph"/>
      </w:pPr>
      <w:r>
        <w:t xml:space="preserve">This is an unprepared debate where you must argue based on your knowledge and experiences. You cannot use textbooks, the internet, or any reference materials during the debate.</w:t>
      </w:r>
    </w:p>
    <w:p>
      <w:pPr>
        <w:pStyle w:val="BodyText"/>
      </w:pPr>
      <w:r>
        <w:rPr>
          <w:b/>
          <w:bCs/>
        </w:rPr>
        <w:t xml:space="preserve">Tip:</w:t>
      </w:r>
      <w:r>
        <w:t xml:space="preserve"> </w:t>
      </w:r>
      <w:r>
        <w:t xml:space="preserve">Sharing personal experiences, family experiences, or stories from people you know will strengthen your arguments and positively impact your score.</w:t>
      </w:r>
    </w:p>
    <w:bookmarkStart w:id="16" w:name="phase-1-opening-statements-5-minutes"/>
    <w:p>
      <w:pPr>
        <w:pStyle w:val="Heading3"/>
      </w:pPr>
      <w:r>
        <w:t xml:space="preserve">Phase 1: Opening Statements (5 minutes)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Side</w:t>
            </w:r>
          </w:p>
        </w:tc>
        <w:tc>
          <w:tcPr>
            <w:tcW w:type="dxa" w:w="3120"/>
          </w:tcPr>
          <w:p>
            <w:pPr>
              <w:pStyle w:val="Compact"/>
            </w:pPr>
            <w:r>
              <w:t xml:space="preserve">Time</w:t>
            </w:r>
          </w:p>
        </w:tc>
        <w:tc>
          <w:tcPr>
            <w:tcW w:type="dxa" w:w="3120"/>
          </w:tcPr>
          <w:p>
            <w:pPr>
              <w:pStyle w:val="Compact"/>
            </w:pPr>
            <w:r>
              <w:t xml:space="preserve">Task</w:t>
            </w:r>
          </w:p>
        </w:tc>
      </w:tr>
      <w:tr>
        <w:tc>
          <w:tcPr>
            <w:tcW w:type="dxa" w:w="3120"/>
          </w:tcPr>
          <w:p>
            <w:pPr>
              <w:pStyle w:val="Compact"/>
            </w:pPr>
            <w:r>
              <w:t xml:space="preserve">Employee Side</w:t>
            </w:r>
          </w:p>
        </w:tc>
        <w:tc>
          <w:tcPr>
            <w:tcW w:type="dxa" w:w="3120"/>
          </w:tcPr>
          <w:p>
            <w:pPr>
              <w:pStyle w:val="Compact"/>
            </w:pPr>
            <w:r>
              <w:t xml:space="preserve">2 min</w:t>
            </w:r>
          </w:p>
        </w:tc>
        <w:tc>
          <w:tcPr>
            <w:tcW w:type="dxa" w:w="3120"/>
          </w:tcPr>
          <w:p>
            <w:pPr>
              <w:pStyle w:val="Compact"/>
            </w:pPr>
            <w:r>
              <w:t xml:space="preserve">Present your position and main arguments</w:t>
            </w:r>
          </w:p>
        </w:tc>
      </w:tr>
      <w:tr>
        <w:tc>
          <w:tcPr>
            <w:tcW w:type="dxa" w:w="3120"/>
          </w:tcPr>
          <w:p>
            <w:pPr>
              <w:pStyle w:val="Compact"/>
            </w:pPr>
            <w:r>
              <w:t xml:space="preserve">Employer Side</w:t>
            </w:r>
          </w:p>
        </w:tc>
        <w:tc>
          <w:tcPr>
            <w:tcW w:type="dxa" w:w="3120"/>
          </w:tcPr>
          <w:p>
            <w:pPr>
              <w:pStyle w:val="Compact"/>
            </w:pPr>
            <w:r>
              <w:t xml:space="preserve">2 min</w:t>
            </w:r>
          </w:p>
        </w:tc>
        <w:tc>
          <w:tcPr>
            <w:tcW w:type="dxa" w:w="3120"/>
          </w:tcPr>
          <w:p>
            <w:pPr>
              <w:pStyle w:val="Compact"/>
            </w:pPr>
            <w:r>
              <w:t xml:space="preserve">Present your position and main arguments</w:t>
            </w:r>
          </w:p>
        </w:tc>
      </w:tr>
      <w:tr>
        <w:tc>
          <w:tcPr>
            <w:tcW w:type="dxa" w:w="3120"/>
          </w:tcPr>
          <w:p>
            <w:pPr>
              <w:pStyle w:val="Compact"/>
            </w:pPr>
            <w:r>
              <w:t xml:space="preserve">Transition</w:t>
            </w:r>
          </w:p>
        </w:tc>
        <w:tc>
          <w:tcPr>
            <w:tcW w:type="dxa" w:w="3120"/>
          </w:tcPr>
          <w:p>
            <w:pPr>
              <w:pStyle w:val="Compact"/>
            </w:pPr>
            <w:r>
              <w:t xml:space="preserve">1 min</w:t>
            </w:r>
          </w:p>
        </w:tc>
        <w:tc>
          <w:tcPr>
            <w:tcW w:type="dxa" w:w="3120"/>
          </w:tcPr>
          <w:p>
            <w:pPr>
              <w:pStyle w:val="Compact"/>
            </w:pPr>
            <w:r>
              <w:t xml:space="preserve">Prepare for rebuttal</w:t>
            </w:r>
          </w:p>
        </w:tc>
      </w:tr>
    </w:tbl>
    <w:bookmarkEnd w:id="16"/>
    <w:bookmarkStart w:id="17" w:name="phase-2-rebuttal-round-10-minutes"/>
    <w:p>
      <w:pPr>
        <w:pStyle w:val="Heading3"/>
      </w:pPr>
      <w:r>
        <w:t xml:space="preserve">Phase 2: Rebuttal Round (10 minutes)</w:t>
      </w:r>
    </w:p>
    <w:p>
      <w:pPr>
        <w:numPr>
          <w:ilvl w:val="0"/>
          <w:numId w:val="1005"/>
        </w:numPr>
      </w:pPr>
      <w:r>
        <w:t xml:space="preserve">Each side responds to the opposing arguments</w:t>
      </w:r>
    </w:p>
    <w:p>
      <w:pPr>
        <w:numPr>
          <w:ilvl w:val="0"/>
          <w:numId w:val="1005"/>
        </w:numPr>
      </w:pPr>
      <w:r>
        <w:t xml:space="preserve">Ask questions to challenge the other side’s position</w:t>
      </w:r>
    </w:p>
    <w:p>
      <w:pPr>
        <w:numPr>
          <w:ilvl w:val="0"/>
          <w:numId w:val="1005"/>
        </w:numPr>
      </w:pPr>
      <w:r>
        <w:t xml:space="preserve">Defend your position with reasoning and real-world examples</w:t>
      </w:r>
    </w:p>
    <w:bookmarkEnd w:id="17"/>
    <w:bookmarkStart w:id="18" w:name="phase-3-free-discussion-8-minutes"/>
    <w:p>
      <w:pPr>
        <w:pStyle w:val="Heading3"/>
      </w:pPr>
      <w:r>
        <w:t xml:space="preserve">Phase 3: Free Discussion (8 minutes)</w:t>
      </w:r>
    </w:p>
    <w:p>
      <w:pPr>
        <w:numPr>
          <w:ilvl w:val="0"/>
          <w:numId w:val="1006"/>
        </w:numPr>
      </w:pPr>
      <w:r>
        <w:t xml:space="preserve">Open debate between both sides</w:t>
      </w:r>
    </w:p>
    <w:p>
      <w:pPr>
        <w:numPr>
          <w:ilvl w:val="0"/>
          <w:numId w:val="1006"/>
        </w:numPr>
      </w:pPr>
      <w:r>
        <w:t xml:space="preserve">Explore common ground and potential compromises</w:t>
      </w:r>
    </w:p>
    <w:p>
      <w:pPr>
        <w:numPr>
          <w:ilvl w:val="0"/>
          <w:numId w:val="1006"/>
        </w:numPr>
      </w:pPr>
      <w:r>
        <w:t xml:space="preserve">Dig deeper into complex aspects of the issue</w:t>
      </w:r>
    </w:p>
    <w:bookmarkEnd w:id="18"/>
    <w:bookmarkStart w:id="19" w:name="phase-4-closing-reflection-5-minutes"/>
    <w:p>
      <w:pPr>
        <w:pStyle w:val="Heading3"/>
      </w:pPr>
      <w:r>
        <w:t xml:space="preserve">Phase 4: Closing &amp; Reflection (5 minutes)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Activity</w:t>
            </w:r>
          </w:p>
        </w:tc>
        <w:tc>
          <w:tcPr>
            <w:tcW w:type="dxa" w:w="4680"/>
          </w:tcPr>
          <w:p>
            <w:pPr>
              <w:pStyle w:val="Compact"/>
            </w:pPr>
            <w:r>
              <w:t xml:space="preserve">Time</w:t>
            </w:r>
          </w:p>
        </w:tc>
      </w:tr>
      <w:tr>
        <w:tc>
          <w:tcPr>
            <w:tcW w:type="dxa" w:w="4680"/>
          </w:tcPr>
          <w:p>
            <w:pPr>
              <w:pStyle w:val="Compact"/>
            </w:pPr>
            <w:r>
              <w:t xml:space="preserve">Employee side closing statement</w:t>
            </w:r>
          </w:p>
        </w:tc>
        <w:tc>
          <w:tcPr>
            <w:tcW w:type="dxa" w:w="4680"/>
          </w:tcPr>
          <w:p>
            <w:pPr>
              <w:pStyle w:val="Compact"/>
            </w:pPr>
            <w:r>
              <w:t xml:space="preserve">1 min</w:t>
            </w:r>
          </w:p>
        </w:tc>
      </w:tr>
      <w:tr>
        <w:tc>
          <w:tcPr>
            <w:tcW w:type="dxa" w:w="4680"/>
          </w:tcPr>
          <w:p>
            <w:pPr>
              <w:pStyle w:val="Compact"/>
            </w:pPr>
            <w:r>
              <w:t xml:space="preserve">Employer side closing statement</w:t>
            </w:r>
          </w:p>
        </w:tc>
        <w:tc>
          <w:tcPr>
            <w:tcW w:type="dxa" w:w="4680"/>
          </w:tcPr>
          <w:p>
            <w:pPr>
              <w:pStyle w:val="Compact"/>
            </w:pPr>
            <w:r>
              <w:t xml:space="preserve">1 min</w:t>
            </w:r>
          </w:p>
        </w:tc>
      </w:tr>
      <w:tr>
        <w:tc>
          <w:tcPr>
            <w:tcW w:type="dxa" w:w="4680"/>
          </w:tcPr>
          <w:p>
            <w:pPr>
              <w:pStyle w:val="Compact"/>
            </w:pPr>
            <w:r>
              <w:t xml:space="preserve">Share what you learned from the opposing view</w:t>
            </w:r>
          </w:p>
        </w:tc>
        <w:tc>
          <w:tcPr>
            <w:tcW w:type="dxa" w:w="4680"/>
          </w:tcPr>
          <w:p>
            <w:pPr>
              <w:pStyle w:val="Compact"/>
            </w:pPr>
            <w:r>
              <w:t xml:space="preserve">3 min</w:t>
            </w:r>
          </w:p>
        </w:tc>
      </w:tr>
    </w:tbl>
    <w:bookmarkEnd w:id="19"/>
    <w:bookmarkEnd w:id="20"/>
    <w:bookmarkStart w:id="21" w:name="evaluation-rubric"/>
    <w:p>
      <w:pPr>
        <w:pStyle w:val="Heading2"/>
      </w:pPr>
      <w:r>
        <w:t xml:space="preserve">Evaluation Rubric</w:t>
      </w:r>
    </w:p>
    <w:p>
      <w:pPr>
        <w:pStyle w:val="FirstParagraph"/>
      </w:pPr>
      <w:r>
        <w:t xml:space="preserve">This debate is conducted without any reference materials. Your arguments should be based on your understanding of course concepts and real-world experiences.</w:t>
      </w:r>
    </w:p>
    <w:p>
      <w:pPr>
        <w:pStyle w:val="BodyText"/>
      </w:pPr>
      <w:r>
        <w:rPr>
          <w:b/>
          <w:bCs/>
        </w:rPr>
        <w:t xml:space="preserve">Scoring:</w:t>
      </w:r>
      <w:r>
        <w:t xml:space="preserve"> </w:t>
      </w:r>
      <w:r>
        <w:t xml:space="preserve">Each team meeting is worth 20 points total.</w:t>
      </w:r>
    </w:p>
    <w:p>
      <w:pPr>
        <w:numPr>
          <w:ilvl w:val="0"/>
          <w:numId w:val="1007"/>
        </w:numPr>
      </w:pPr>
      <w:r>
        <w:t xml:space="preserve">Meeting Agenda (10 points): Based on the debate evaluation below</w:t>
      </w:r>
    </w:p>
    <w:p>
      <w:pPr>
        <w:numPr>
          <w:ilvl w:val="0"/>
          <w:numId w:val="1007"/>
        </w:numPr>
      </w:pPr>
      <w:r>
        <w:t xml:space="preserve">Peer Evaluation (10 points): Based on peer review survey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60"/>
        <w:gridCol w:w="1560"/>
        <w:gridCol w:w="1560"/>
        <w:gridCol w:w="1560"/>
        <w:gridCol w:w="1560"/>
        <w:gridCol w:w="1560"/>
      </w:tblGrid>
      <w:tr>
        <w:trPr>
          <w:tblHeader w:val="on"/>
        </w:trPr>
        <w:tc>
          <w:tcPr>
            <w:tcW w:type="dxa" w:w="1560"/>
          </w:tcPr>
          <w:p>
            <w:pPr>
              <w:pStyle w:val="Compact"/>
            </w:pPr>
            <w:r>
              <w:t xml:space="preserve">Criteria</w:t>
            </w:r>
          </w:p>
        </w:tc>
        <w:tc>
          <w:tcPr>
            <w:tcW w:type="dxa" w:w="1560"/>
          </w:tcPr>
          <w:p>
            <w:pPr>
              <w:pStyle w:val="Compact"/>
            </w:pPr>
            <w:r>
              <w:t xml:space="preserve">2 pts (Excellent)</w:t>
            </w:r>
          </w:p>
        </w:tc>
        <w:tc>
          <w:tcPr>
            <w:tcW w:type="dxa" w:w="1560"/>
          </w:tcPr>
          <w:p>
            <w:pPr>
              <w:pStyle w:val="Compact"/>
            </w:pPr>
            <w:r>
              <w:t xml:space="preserve">1.5 pts (Good)</w:t>
            </w:r>
          </w:p>
        </w:tc>
        <w:tc>
          <w:tcPr>
            <w:tcW w:type="dxa" w:w="1560"/>
          </w:tcPr>
          <w:p>
            <w:pPr>
              <w:pStyle w:val="Compact"/>
            </w:pPr>
            <w:r>
              <w:t xml:space="preserve">1 pt (Adequate)</w:t>
            </w:r>
          </w:p>
        </w:tc>
        <w:tc>
          <w:tcPr>
            <w:tcW w:type="dxa" w:w="1560"/>
          </w:tcPr>
          <w:p>
            <w:pPr>
              <w:pStyle w:val="Compact"/>
            </w:pPr>
            <w:r>
              <w:t xml:space="preserve">0.5 pts (Poor)</w:t>
            </w:r>
          </w:p>
        </w:tc>
        <w:tc>
          <w:tcPr>
            <w:tcW w:type="dxa" w:w="1560"/>
          </w:tcPr>
          <w:p>
            <w:pPr>
              <w:pStyle w:val="Compact"/>
            </w:pPr>
            <w:r>
              <w:t xml:space="preserve">0 pts (Insufficient)</w:t>
            </w:r>
          </w:p>
        </w:tc>
      </w:tr>
      <w:tr>
        <w:tc>
          <w:tcPr>
            <w:tcW w:type="dxa" w:w="1560"/>
          </w:tcPr>
          <w:p>
            <w:pPr>
              <w:pStyle w:val="Compact"/>
            </w:pPr>
            <w:r>
              <w:rPr>
                <w:b/>
                <w:bCs/>
              </w:rPr>
              <w:t xml:space="preserve">Argument Quality</w:t>
            </w:r>
          </w:p>
        </w:tc>
        <w:tc>
          <w:tcPr>
            <w:tcW w:type="dxa" w:w="1560"/>
          </w:tcPr>
          <w:p>
            <w:pPr>
              <w:pStyle w:val="Compact"/>
            </w:pPr>
            <w:r>
              <w:t xml:space="preserve">Logical arguments supported by personal, family, or real-world experiences; demonstrates clear understanding of HR concepts</w:t>
            </w:r>
          </w:p>
        </w:tc>
        <w:tc>
          <w:tcPr>
            <w:tcW w:type="dxa" w:w="1560"/>
          </w:tcPr>
          <w:p>
            <w:pPr>
              <w:pStyle w:val="Compact"/>
            </w:pPr>
            <w:r>
              <w:t xml:space="preserve">Sound arguments with some relevant examples</w:t>
            </w:r>
          </w:p>
        </w:tc>
        <w:tc>
          <w:tcPr>
            <w:tcW w:type="dxa" w:w="1560"/>
          </w:tcPr>
          <w:p>
            <w:pPr>
              <w:pStyle w:val="Compact"/>
            </w:pPr>
            <w:r>
              <w:t xml:space="preserve">Adequate but lacks depth or concrete examples</w:t>
            </w:r>
          </w:p>
        </w:tc>
        <w:tc>
          <w:tcPr>
            <w:tcW w:type="dxa" w:w="1560"/>
          </w:tcPr>
          <w:p>
            <w:pPr>
              <w:pStyle w:val="Compact"/>
            </w:pPr>
            <w:r>
              <w:t xml:space="preserve">Weak arguments without supporting examples</w:t>
            </w:r>
          </w:p>
        </w:tc>
        <w:tc>
          <w:tcPr>
            <w:tcW w:type="dxa" w:w="1560"/>
          </w:tcPr>
          <w:p>
            <w:pPr>
              <w:pStyle w:val="Compact"/>
            </w:pPr>
            <w:r>
              <w:t xml:space="preserve">Unclear or off-topic</w:t>
            </w:r>
          </w:p>
        </w:tc>
      </w:tr>
      <w:tr>
        <w:tc>
          <w:tcPr>
            <w:tcW w:type="dxa" w:w="1560"/>
          </w:tcPr>
          <w:p>
            <w:pPr>
              <w:pStyle w:val="Compact"/>
            </w:pPr>
            <w:r>
              <w:rPr>
                <w:b/>
                <w:bCs/>
              </w:rPr>
              <w:t xml:space="preserve">Active Engagement</w:t>
            </w:r>
          </w:p>
        </w:tc>
        <w:tc>
          <w:tcPr>
            <w:tcW w:type="dxa" w:w="1560"/>
          </w:tcPr>
          <w:p>
            <w:pPr>
              <w:pStyle w:val="Compact"/>
            </w:pPr>
            <w:r>
              <w:t xml:space="preserve">Speaks confidently, maintains eye contact, actively participates throughout</w:t>
            </w:r>
          </w:p>
        </w:tc>
        <w:tc>
          <w:tcPr>
            <w:tcW w:type="dxa" w:w="1560"/>
          </w:tcPr>
          <w:p>
            <w:pPr>
              <w:pStyle w:val="Compact"/>
            </w:pPr>
            <w:r>
              <w:t xml:space="preserve">Participates actively with good verbal contributions</w:t>
            </w:r>
          </w:p>
        </w:tc>
        <w:tc>
          <w:tcPr>
            <w:tcW w:type="dxa" w:w="1560"/>
          </w:tcPr>
          <w:p>
            <w:pPr>
              <w:pStyle w:val="Compact"/>
            </w:pPr>
            <w:r>
              <w:t xml:space="preserve">Participates but could be more engaged</w:t>
            </w:r>
          </w:p>
        </w:tc>
        <w:tc>
          <w:tcPr>
            <w:tcW w:type="dxa" w:w="1560"/>
          </w:tcPr>
          <w:p>
            <w:pPr>
              <w:pStyle w:val="Compact"/>
            </w:pPr>
            <w:r>
              <w:t xml:space="preserve">Minimal verbal participation; mostly silent</w:t>
            </w:r>
          </w:p>
        </w:tc>
        <w:tc>
          <w:tcPr>
            <w:tcW w:type="dxa" w:w="1560"/>
          </w:tcPr>
          <w:p>
            <w:pPr>
              <w:pStyle w:val="Compact"/>
            </w:pPr>
            <w:r>
              <w:t xml:space="preserve">Does not verbally participate</w:t>
            </w:r>
          </w:p>
        </w:tc>
      </w:tr>
      <w:tr>
        <w:tc>
          <w:tcPr>
            <w:tcW w:type="dxa" w:w="1560"/>
          </w:tcPr>
          <w:p>
            <w:pPr>
              <w:pStyle w:val="Compact"/>
            </w:pPr>
            <w:r>
              <w:rPr>
                <w:b/>
                <w:bCs/>
              </w:rPr>
              <w:t xml:space="preserve">Use of Experience</w:t>
            </w:r>
          </w:p>
        </w:tc>
        <w:tc>
          <w:tcPr>
            <w:tcW w:type="dxa" w:w="1560"/>
          </w:tcPr>
          <w:p>
            <w:pPr>
              <w:pStyle w:val="Compact"/>
            </w:pPr>
            <w:r>
              <w:t xml:space="preserve">Effectively shares relevant personal, family, or real-world experiences that strengthen arguments</w:t>
            </w:r>
          </w:p>
        </w:tc>
        <w:tc>
          <w:tcPr>
            <w:tcW w:type="dxa" w:w="1560"/>
          </w:tcPr>
          <w:p>
            <w:pPr>
              <w:pStyle w:val="Compact"/>
            </w:pPr>
            <w:r>
              <w:t xml:space="preserve">Shares some experiences that relate to the topic</w:t>
            </w:r>
          </w:p>
        </w:tc>
        <w:tc>
          <w:tcPr>
            <w:tcW w:type="dxa" w:w="1560"/>
          </w:tcPr>
          <w:p>
            <w:pPr>
              <w:pStyle w:val="Compact"/>
            </w:pPr>
            <w:r>
              <w:t xml:space="preserve">Occasionally references experiences</w:t>
            </w:r>
          </w:p>
        </w:tc>
        <w:tc>
          <w:tcPr>
            <w:tcW w:type="dxa" w:w="1560"/>
          </w:tcPr>
          <w:p>
            <w:pPr>
              <w:pStyle w:val="Compact"/>
            </w:pPr>
            <w:r>
              <w:t xml:space="preserve">Rarely uses personal experiences</w:t>
            </w:r>
          </w:p>
        </w:tc>
        <w:tc>
          <w:tcPr>
            <w:tcW w:type="dxa" w:w="1560"/>
          </w:tcPr>
          <w:p>
            <w:pPr>
              <w:pStyle w:val="Compact"/>
            </w:pPr>
            <w:r>
              <w:t xml:space="preserve">Does not share any experiences</w:t>
            </w:r>
          </w:p>
        </w:tc>
      </w:tr>
      <w:tr>
        <w:tc>
          <w:tcPr>
            <w:tcW w:type="dxa" w:w="1560"/>
          </w:tcPr>
          <w:p>
            <w:pPr>
              <w:pStyle w:val="Compact"/>
            </w:pPr>
            <w:r>
              <w:rPr>
                <w:b/>
                <w:bCs/>
              </w:rPr>
              <w:t xml:space="preserve">Responsiveness</w:t>
            </w:r>
          </w:p>
        </w:tc>
        <w:tc>
          <w:tcPr>
            <w:tcW w:type="dxa" w:w="1560"/>
          </w:tcPr>
          <w:p>
            <w:pPr>
              <w:pStyle w:val="Compact"/>
            </w:pPr>
            <w:r>
              <w:t xml:space="preserve">Directly addresses opponents’ arguments, asks thoughtful questions, builds on teammates’ points</w:t>
            </w:r>
          </w:p>
        </w:tc>
        <w:tc>
          <w:tcPr>
            <w:tcW w:type="dxa" w:w="1560"/>
          </w:tcPr>
          <w:p>
            <w:pPr>
              <w:pStyle w:val="Compact"/>
            </w:pPr>
            <w:r>
              <w:t xml:space="preserve">Responds well with relevant counterarguments</w:t>
            </w:r>
          </w:p>
        </w:tc>
        <w:tc>
          <w:tcPr>
            <w:tcW w:type="dxa" w:w="1560"/>
          </w:tcPr>
          <w:p>
            <w:pPr>
              <w:pStyle w:val="Compact"/>
            </w:pPr>
            <w:r>
              <w:t xml:space="preserve">Some response but misses opportunities for engagement</w:t>
            </w:r>
          </w:p>
        </w:tc>
        <w:tc>
          <w:tcPr>
            <w:tcW w:type="dxa" w:w="1560"/>
          </w:tcPr>
          <w:p>
            <w:pPr>
              <w:pStyle w:val="Compact"/>
            </w:pPr>
            <w:r>
              <w:t xml:space="preserve">Rarely responds to or acknowledges others’ arguments</w:t>
            </w:r>
          </w:p>
        </w:tc>
        <w:tc>
          <w:tcPr>
            <w:tcW w:type="dxa" w:w="1560"/>
          </w:tcPr>
          <w:p>
            <w:pPr>
              <w:pStyle w:val="Compact"/>
            </w:pPr>
            <w:r>
              <w:t xml:space="preserve">Ignores others’ arguments entirely</w:t>
            </w:r>
          </w:p>
        </w:tc>
      </w:tr>
      <w:tr>
        <w:tc>
          <w:tcPr>
            <w:tcW w:type="dxa" w:w="1560"/>
          </w:tcPr>
          <w:p>
            <w:pPr>
              <w:pStyle w:val="Compact"/>
            </w:pPr>
            <w:r>
              <w:rPr>
                <w:b/>
                <w:bCs/>
              </w:rPr>
              <w:t xml:space="preserve">Role Fulfillment</w:t>
            </w:r>
          </w:p>
        </w:tc>
        <w:tc>
          <w:tcPr>
            <w:tcW w:type="dxa" w:w="1560"/>
          </w:tcPr>
          <w:p>
            <w:pPr>
              <w:pStyle w:val="Compact"/>
            </w:pPr>
            <w:r>
              <w:t xml:space="preserve">Fully commits to assigned perspective; stays in role throughout</w:t>
            </w:r>
          </w:p>
        </w:tc>
        <w:tc>
          <w:tcPr>
            <w:tcW w:type="dxa" w:w="1560"/>
          </w:tcPr>
          <w:p>
            <w:pPr>
              <w:pStyle w:val="Compact"/>
            </w:pPr>
            <w:r>
              <w:t xml:space="preserve">Maintains role well with minor lapses</w:t>
            </w:r>
          </w:p>
        </w:tc>
        <w:tc>
          <w:tcPr>
            <w:tcW w:type="dxa" w:w="1560"/>
          </w:tcPr>
          <w:p>
            <w:pPr>
              <w:pStyle w:val="Compact"/>
            </w:pPr>
            <w:r>
              <w:t xml:space="preserve">Sometimes breaks from assigned role</w:t>
            </w:r>
          </w:p>
        </w:tc>
        <w:tc>
          <w:tcPr>
            <w:tcW w:type="dxa" w:w="1560"/>
          </w:tcPr>
          <w:p>
            <w:pPr>
              <w:pStyle w:val="Compact"/>
            </w:pPr>
            <w:r>
              <w:t xml:space="preserve">Frequently abandons assigned perspective</w:t>
            </w:r>
          </w:p>
        </w:tc>
        <w:tc>
          <w:tcPr>
            <w:tcW w:type="dxa" w:w="1560"/>
          </w:tcPr>
          <w:p>
            <w:pPr>
              <w:pStyle w:val="Compact"/>
            </w:pPr>
            <w:r>
              <w:t xml:space="preserve">Does not fulfill assigned role</w:t>
            </w:r>
          </w:p>
        </w:tc>
      </w:tr>
    </w:tbl>
    <w:p>
      <w:pPr>
        <w:pStyle w:val="BodyText"/>
      </w:pPr>
      <w:r>
        <w:rPr>
          <w:b/>
          <w:bCs/>
        </w:rPr>
        <w:t xml:space="preserve">Meeting Agenda Score: _____ / 10 points</w:t>
      </w:r>
    </w:p>
    <w:bookmarkEnd w:id="21"/>
    <w:bookmarkStart w:id="24" w:name="after-the-meeting"/>
    <w:p>
      <w:pPr>
        <w:pStyle w:val="Heading2"/>
      </w:pPr>
      <w:r>
        <w:t xml:space="preserve">After the Meeting</w:t>
      </w:r>
    </w:p>
    <w:bookmarkStart w:id="22" w:name="submission"/>
    <w:p>
      <w:pPr>
        <w:pStyle w:val="Heading3"/>
      </w:pPr>
      <w:r>
        <w:t xml:space="preserve">Submission</w:t>
      </w:r>
    </w:p>
    <w:p>
      <w:pPr>
        <w:pStyle w:val="Compact"/>
        <w:numPr>
          <w:ilvl w:val="0"/>
          <w:numId w:val="1008"/>
        </w:numPr>
      </w:pPr>
      <w:r>
        <w:t xml:space="preserve">Organize and finalize the meeting notes</w:t>
      </w:r>
    </w:p>
    <w:p>
      <w:pPr>
        <w:pStyle w:val="Compact"/>
        <w:numPr>
          <w:ilvl w:val="0"/>
          <w:numId w:val="1008"/>
        </w:numPr>
      </w:pPr>
      <w:r>
        <w:t xml:space="preserve">Submit the completed meeting agenda to Canvas as a Word file</w:t>
      </w:r>
    </w:p>
    <w:p>
      <w:pPr>
        <w:pStyle w:val="Compact"/>
        <w:numPr>
          <w:ilvl w:val="0"/>
          <w:numId w:val="1008"/>
        </w:numPr>
      </w:pPr>
      <w:r>
        <w:t xml:space="preserve">Share the document with all team members</w:t>
      </w:r>
    </w:p>
    <w:p>
      <w:pPr>
        <w:pStyle w:val="FirstParagraph"/>
      </w:pPr>
      <w:r>
        <w:rPr>
          <w:b/>
          <w:bCs/>
        </w:rPr>
        <w:t xml:space="preserve">Note:</w:t>
      </w:r>
      <w:r>
        <w:t xml:space="preserve"> </w:t>
      </w:r>
      <w:r>
        <w:t xml:space="preserve">Any team member may submit the meeting agenda to Canvas, not just the Notetaker. Duplicate submissions are allowed.</w:t>
      </w:r>
    </w:p>
    <w:bookmarkEnd w:id="22"/>
    <w:bookmarkStart w:id="23" w:name="if-a-team-member-was-absent"/>
    <w:p>
      <w:pPr>
        <w:pStyle w:val="Heading3"/>
      </w:pPr>
      <w:r>
        <w:t xml:space="preserve">If a Team Member Was Absent</w:t>
      </w:r>
    </w:p>
    <w:p>
      <w:pPr>
        <w:numPr>
          <w:ilvl w:val="0"/>
          <w:numId w:val="1009"/>
        </w:numPr>
      </w:pPr>
      <w:r>
        <w:t xml:space="preserve">The absent student will receive the meeting notes from their team</w:t>
      </w:r>
    </w:p>
    <w:p>
      <w:pPr>
        <w:numPr>
          <w:ilvl w:val="0"/>
          <w:numId w:val="1009"/>
        </w:numPr>
      </w:pPr>
      <w:r>
        <w:t xml:space="preserve">The absent student must add their own reflections and comments to the document</w:t>
      </w:r>
    </w:p>
    <w:p>
      <w:pPr>
        <w:numPr>
          <w:ilvl w:val="0"/>
          <w:numId w:val="1009"/>
        </w:numPr>
      </w:pPr>
      <w:r>
        <w:t xml:space="preserve">Submit to Canvas by the end of that week (Sunday 11:59 PM)</w:t>
      </w:r>
    </w:p>
    <w:bookmarkEnd w:id="23"/>
    <w:bookmarkEnd w:id="24"/>
    <w:bookmarkStart w:id="25" w:name="self-and-peer-review-evaluation"/>
    <w:p>
      <w:pPr>
        <w:pStyle w:val="Heading2"/>
      </w:pPr>
      <w:r>
        <w:t xml:space="preserve">Self and Peer Review Evaluation</w:t>
      </w:r>
    </w:p>
    <w:p>
      <w:pPr>
        <w:pStyle w:val="FirstParagraph"/>
      </w:pPr>
      <w:r>
        <w:t xml:space="preserve">After each team meeting, you will complete a self and peer review evaluation.</w:t>
      </w:r>
    </w:p>
    <w:p>
      <w:pPr>
        <w:pStyle w:val="BodyText"/>
      </w:pPr>
      <w:r>
        <w:rPr>
          <w:b/>
          <w:bCs/>
        </w:rPr>
        <w:t xml:space="preserve">How It Works:</w:t>
      </w:r>
    </w:p>
    <w:p>
      <w:pPr>
        <w:pStyle w:val="Compact"/>
        <w:numPr>
          <w:ilvl w:val="0"/>
          <w:numId w:val="1010"/>
        </w:numPr>
      </w:pPr>
      <w:r>
        <w:t xml:space="preserve">Rate yourself and each team member on the evaluation criteria</w:t>
      </w:r>
    </w:p>
    <w:p>
      <w:pPr>
        <w:pStyle w:val="Compact"/>
        <w:numPr>
          <w:ilvl w:val="0"/>
          <w:numId w:val="1010"/>
        </w:numPr>
      </w:pPr>
      <w:r>
        <w:t xml:space="preserve">Provide honest and constructive feedback</w:t>
      </w:r>
    </w:p>
    <w:p>
      <w:pPr>
        <w:pStyle w:val="Compact"/>
        <w:numPr>
          <w:ilvl w:val="0"/>
          <w:numId w:val="1010"/>
        </w:numPr>
      </w:pPr>
      <w:r>
        <w:t xml:space="preserve">Submit your evaluation through the online survey (link provided in Canvas)</w:t>
      </w:r>
    </w:p>
    <w:p>
      <w:pPr>
        <w:pStyle w:val="FirstParagraph"/>
      </w:pPr>
      <w:r>
        <w:rPr>
          <w:b/>
          <w:bCs/>
        </w:rPr>
        <w:t xml:space="preserve">Evaluation Guidelines:</w:t>
      </w:r>
    </w:p>
    <w:p>
      <w:pPr>
        <w:numPr>
          <w:ilvl w:val="0"/>
          <w:numId w:val="1011"/>
        </w:numPr>
      </w:pPr>
      <w:r>
        <w:t xml:space="preserve">Be fair and objective in your ratings</w:t>
      </w:r>
    </w:p>
    <w:p>
      <w:pPr>
        <w:numPr>
          <w:ilvl w:val="0"/>
          <w:numId w:val="1011"/>
        </w:numPr>
      </w:pPr>
      <w:r>
        <w:t xml:space="preserve">Consider each person’s preparation, participation, and contribution to the discussion</w:t>
      </w:r>
    </w:p>
    <w:p>
      <w:pPr>
        <w:numPr>
          <w:ilvl w:val="0"/>
          <w:numId w:val="1011"/>
        </w:numPr>
      </w:pPr>
      <w:r>
        <w:t xml:space="preserve">Your individual ratings are confidential and will not be shared with other team members</w:t>
      </w:r>
    </w:p>
    <w:p>
      <w:pPr>
        <w:pStyle w:val="FirstParagraph"/>
      </w:pPr>
      <w:r>
        <w:rPr>
          <w:b/>
          <w:bCs/>
        </w:rPr>
        <w:t xml:space="preserve">Important Policy on Unexcused Absences:</w:t>
      </w:r>
    </w:p>
    <w:p>
      <w:pPr>
        <w:pStyle w:val="BodyText"/>
      </w:pPr>
      <w:r>
        <w:t xml:space="preserve">If a team member was absent and did NOT notify the team in advance, you should give that person the lowest possible score on the peer evaluation. Failing to communicate an absence shows a lack of respect for the team and negatively impacts the team’s ability to conduct the meeting effectively.</w:t>
      </w:r>
    </w:p>
    <w:bookmarkEnd w:id="25"/>
    <w:bookmarkStart w:id="26" w:name="frequently-asked-questions"/>
    <w:p>
      <w:pPr>
        <w:pStyle w:val="Heading2"/>
      </w:pPr>
      <w:r>
        <w:t xml:space="preserve">Frequently Asked Questions</w:t>
      </w:r>
    </w:p>
    <w:p>
      <w:pPr>
        <w:pStyle w:val="FirstParagraph"/>
      </w:pPr>
      <w:r>
        <w:rPr>
          <w:b/>
          <w:bCs/>
        </w:rPr>
        <w:t xml:space="preserve">Q1. Will our roles be the same each week?</w:t>
      </w:r>
    </w:p>
    <w:p>
      <w:pPr>
        <w:pStyle w:val="BodyText"/>
      </w:pPr>
      <w:r>
        <w:t xml:space="preserve">A1. No. Roles rotate weekly so everyone experiences both Employee and Employer perspectives. At the end of each meeting, discuss and assign roles for the next week.</w:t>
      </w:r>
    </w:p>
    <w:p>
      <w:pPr>
        <w:pStyle w:val="BodyText"/>
      </w:pPr>
      <w:r>
        <w:rPr>
          <w:b/>
          <w:bCs/>
        </w:rPr>
        <w:t xml:space="preserve">Q2. What if I personally disagree with my assigned perspective?</w:t>
      </w:r>
    </w:p>
    <w:p>
      <w:pPr>
        <w:pStyle w:val="BodyText"/>
      </w:pPr>
      <w:r>
        <w:t xml:space="preserve">A2. That’s part of the learning experience. Arguing for a position you disagree with helps you understand different viewpoints and strengthens your critical thinking skills.</w:t>
      </w:r>
    </w:p>
    <w:p>
      <w:pPr>
        <w:pStyle w:val="BodyText"/>
      </w:pPr>
      <w:r>
        <w:rPr>
          <w:b/>
          <w:bCs/>
        </w:rPr>
        <w:t xml:space="preserve">Q3. What if a team member is absent?</w:t>
      </w:r>
    </w:p>
    <w:p>
      <w:pPr>
        <w:pStyle w:val="BodyText"/>
      </w:pPr>
      <w:r>
        <w:t xml:space="preserve">A3. Redistribute roles among present members. The absent student will receive the meeting notes from the team and must submit their own version with added reflections by Sunday 11:59 PM.</w:t>
      </w:r>
    </w:p>
    <w:p>
      <w:pPr>
        <w:pStyle w:val="BodyText"/>
      </w:pPr>
      <w:r>
        <w:rPr>
          <w:b/>
          <w:bCs/>
        </w:rPr>
        <w:t xml:space="preserve">Q4. What topics will we debate?</w:t>
      </w:r>
    </w:p>
    <w:p>
      <w:pPr>
        <w:pStyle w:val="BodyText"/>
      </w:pPr>
      <w:r>
        <w:t xml:space="preserve">A4. The instructor will provide a debate topic each week related to the course material. Topics may include issues like remote work policies, performance-based pay, employee monitoring, and other HR-related dilemmas.</w:t>
      </w:r>
    </w:p>
    <w:p>
      <w:pPr>
        <w:pStyle w:val="BodyText"/>
      </w:pPr>
      <w:r>
        <w:rPr>
          <w:b/>
          <w:bCs/>
        </w:rPr>
        <w:t xml:space="preserve">Q5. Can I look up information during the debate?</w:t>
      </w:r>
    </w:p>
    <w:p>
      <w:pPr>
        <w:pStyle w:val="BodyText"/>
      </w:pPr>
      <w:r>
        <w:t xml:space="preserve">A5. No. This is an unprepared debate. You cannot use textbooks, the internet, or any reference materials. Only the Notetaker may use a laptop, and only for taking notes.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