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eastAsia="Noto Sans CJK SC" w:ascii="Aptos" w:hAnsi="Aptos"/>
          <w:b/>
          <w:color w:val="1F4E79"/>
          <w:sz w:val="44"/>
        </w:rPr>
        <w:t>交易复盘阶段性总结文档</w:t>
      </w:r>
    </w:p>
    <w:p>
      <w:pPr>
        <w:jc w:val="center"/>
      </w:pPr>
      <w:r>
        <w:rPr>
          <w:rFonts w:eastAsia="Noto Sans CJK SC" w:ascii="Aptos" w:hAnsi="Aptos"/>
          <w:i/>
          <w:color w:val="595959"/>
          <w:sz w:val="22"/>
        </w:rPr>
        <w:t>基于已完成样本的适配区间、常见错误与后续方法收束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386"/>
      </w:tblGrid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rFonts w:eastAsia="Noto Sans CJK SC" w:ascii="Aptos" w:hAnsi="Aptos"/>
                <w:b/>
                <w:color w:val="1F4E79"/>
              </w:rPr>
              <w:t>样本数量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7 笔已详细复盘 + 3 笔待简化归类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rFonts w:eastAsia="Noto Sans CJK SC" w:ascii="Aptos" w:hAnsi="Aptos"/>
                <w:b/>
                <w:color w:val="1F4E79"/>
              </w:rPr>
              <w:t>当前状态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阶段性归纳版本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rFonts w:eastAsia="Noto Sans CJK SC" w:ascii="Aptos" w:hAnsi="Aptos"/>
                <w:b/>
                <w:color w:val="1F4E79"/>
              </w:rPr>
              <w:t>文档用途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供归档、后续 AI 二次分析、继续追加复盘使用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Noto Sans CJK SC" w:ascii="Aptos" w:hAnsi="Aptos"/>
        </w:rPr>
        <w:t>一、总判断</w:t>
      </w:r>
    </w:p>
    <w:p>
      <w:pPr>
        <w:spacing w:after="160" w:line="324" w:lineRule="auto"/>
      </w:pPr>
      <w:r>
        <w:rPr>
          <w:rFonts w:eastAsia="Noto Sans CJK SC" w:ascii="Aptos" w:hAnsi="Aptos"/>
          <w:color w:val="202020"/>
        </w:rPr>
        <w:t>现有样本已经足以说明：过去的盈亏并非随机，而是与“自己到底在挣什么钱”高度相关。整体看，最适合的并不是纯低估值慢修复、纯高股息配置，也不是高拥挤成长后半段或纯消息情绪，而是“有基本面锚点的变化与修正的钱”。</w:t>
      </w:r>
    </w:p>
    <w:p>
      <w:pPr>
        <w:spacing w:after="160" w:line="324" w:lineRule="auto"/>
      </w:pPr>
      <w:r>
        <w:rPr>
          <w:rFonts w:eastAsia="Noto Sans CJK SC" w:ascii="Aptos" w:hAnsi="Aptos"/>
          <w:color w:val="202020"/>
        </w:rPr>
        <w:t>更具体地说，这类机会通常具备四个条件：基本面不是空的；边际变化正在发生；市场尚未完全定价；未来一到四个季度内存在明确验证路径。只要离开这四个条件，交易体验和结果就容易变差。</w:t>
      </w:r>
    </w:p>
    <w:p>
      <w:pPr>
        <w:pStyle w:val="Heading1"/>
      </w:pPr>
      <w:r>
        <w:rPr>
          <w:rFonts w:eastAsia="Noto Sans CJK SC" w:ascii="Aptos" w:hAnsi="Aptos"/>
        </w:rPr>
        <w:t>二、阶段性结论</w:t>
      </w:r>
    </w:p>
    <w:p>
      <w:pPr>
        <w:pStyle w:val="Heading2"/>
      </w:pPr>
      <w:r>
        <w:rPr>
          <w:rFonts w:eastAsia="Noto Sans CJK SC" w:ascii="Aptos" w:hAnsi="Aptos"/>
        </w:rPr>
        <w:t>1. 当前更适合的赚钱类型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有基本面锚点的成长预期差：如德业股份。适合在景气向上、公司边际优势明确、市场尚未完全一致时参与。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困境或政策冲击后的修复预期差：如天立国际控股。适合做“市场过度悲观，但基本面已经开始修复”的波段。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高质量核心资产在新主线下的业绩验证与质量重估：如腾讯控股。适合在高质量龙头中寻找“变化开始兑现”的机会。</w:t>
      </w:r>
    </w:p>
    <w:p>
      <w:pPr>
        <w:pStyle w:val="Heading2"/>
      </w:pPr>
      <w:r>
        <w:rPr>
          <w:rFonts w:eastAsia="Noto Sans CJK SC" w:ascii="Aptos" w:hAnsi="Aptos"/>
        </w:rPr>
        <w:t>2. 当前不适合的赚钱类型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纯低估值、弱催化、慢修复：如格力电器。逻辑能讲清，但不适合长期等待“静态便宜自动修复”。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高股息、类债、防守配置：如长江电力。能够理解资产属性，但持有方式和收益诉求并不匹配。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高拥挤成长后半段的大仓位趋势：如阳光电源。能看懂成长，却不适合在最拥挤阶段重仓完整承受高波动。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纯题材、纯消息、纯情绪博弈：如新金路及后续若干“听消息”交易。适合小仓位试错，不适合作为主战场。</w:t>
      </w:r>
    </w:p>
    <w:p>
      <w:pPr>
        <w:pStyle w:val="Heading1"/>
      </w:pPr>
      <w:r>
        <w:rPr>
          <w:rFonts w:eastAsia="Noto Sans CJK SC" w:ascii="Aptos" w:hAnsi="Aptos"/>
        </w:rPr>
        <w:t>三、样本一览表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rFonts w:eastAsia="Noto Sans CJK SC" w:ascii="Aptos" w:hAnsi="Aptos"/>
                <w:b/>
                <w:color w:val="1F4E79"/>
              </w:rPr>
              <w:t>交易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rFonts w:eastAsia="Noto Sans CJK SC" w:ascii="Aptos" w:hAnsi="Aptos"/>
                <w:b/>
                <w:color w:val="1F4E79"/>
              </w:rPr>
              <w:t>本质上在挣什么钱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rFonts w:eastAsia="Noto Sans CJK SC" w:ascii="Aptos" w:hAnsi="Aptos"/>
                <w:b/>
                <w:color w:val="1F4E79"/>
              </w:rPr>
              <w:t>结果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rFonts w:eastAsia="Noto Sans CJK SC" w:ascii="Aptos" w:hAnsi="Aptos"/>
                <w:b/>
                <w:color w:val="1F4E79"/>
              </w:rPr>
              <w:t>是否适配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rFonts w:eastAsia="Noto Sans CJK SC" w:ascii="Aptos" w:hAnsi="Aptos"/>
                <w:b/>
                <w:color w:val="1F4E79"/>
              </w:rPr>
              <w:t>核心结论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阳光电源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景气成长 + 题材情绪 + 趋势延续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大幅亏损/持有体验差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不适合作为主路径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能够识别景气，但不适合在高拥挤后半段重仓完整吃趋势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格力电器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低估值高分红 + 估值修复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失败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不适合作为主路径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认可便宜，但不适合长期忍受弱催化、慢修复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德业股份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景气成长 + 预期差 + 估值抬升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成功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接近正样本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适合做“市场尚未完全拥挤前”的成长预期差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天立国际控股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政策冲击后修复 + 估值修复 + 技术兑现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成功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正样本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适合做基本面修复明确后的预期差修复波段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长江电力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高股息 + 类债配置 + 防守收益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平出/微亏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不适合作为主路径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理解资产属性，但不适合低弹性、慢兑现的配置型收益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新金路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题材预期 + 板块情绪 + 技术试错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亏损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仅适合小仓位试错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动作合格，但不属于长期可复制的核心赚钱模式</w:t>
            </w:r>
          </w:p>
        </w:tc>
      </w:tr>
      <w:t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腾讯控股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高质量核心资产的业绩验证 + 质量重估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成功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正样本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适合做高质量资产在新主线下的变化与修正</w:t>
            </w:r>
          </w:p>
        </w:tc>
      </w:tr>
    </w:tbl>
    <w:p>
      <w:pPr>
        <w:pStyle w:val="Heading1"/>
      </w:pPr>
      <w:r>
        <w:rPr>
          <w:rFonts w:eastAsia="Noto Sans CJK SC" w:ascii="Aptos" w:hAnsi="Aptos"/>
        </w:rPr>
        <w:t>四、共性问题归纳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仓位表达与交易质量经常不匹配：有些噪音较高或波动较大的交易给了较大仓位，而高质量样本反而仓位偏轻。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买入、持有、卖出阶段经常切换决策语言：买入时靠景气和技术，持有时转向基本面信仰，卖出时又由情绪触发。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容易把“知道为什么买”误当成“适合重仓做”：逻辑成立不等于适合自己长期复制。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容易受横向比较、机会成本和市场热度干扰：即使在成功交易中，也会被其他标的的涨幅影响持有体验。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噪音入口没有完全堵住：听消息、听同学推荐、对“庄家”“资金运作”类信息给予过高权重，会显著拉低系统纯度。</w:t>
      </w:r>
    </w:p>
    <w:p>
      <w:pPr>
        <w:pStyle w:val="Heading1"/>
      </w:pPr>
      <w:r>
        <w:rPr>
          <w:rFonts w:eastAsia="Noto Sans CJK SC" w:ascii="Aptos" w:hAnsi="Aptos"/>
        </w:rPr>
        <w:t>五、逐笔交易档案</w:t>
      </w:r>
    </w:p>
    <w:p>
      <w:pPr>
        <w:pStyle w:val="Heading2"/>
      </w:pPr>
      <w:r>
        <w:rPr>
          <w:rFonts w:eastAsia="Noto Sans CJK SC" w:ascii="Aptos" w:hAnsi="Aptos"/>
        </w:rPr>
        <w:t>1. 阳光电源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交易定位：</w:t>
      </w:r>
      <w:r>
        <w:rPr>
          <w:rFonts w:eastAsia="Noto Sans CJK SC" w:ascii="Aptos" w:hAnsi="Aptos"/>
          <w:color w:val="202020"/>
        </w:rPr>
        <w:t>景气成长 + 题材情绪 + 趋势延续的混合型交易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时间区间：</w:t>
      </w:r>
      <w:r>
        <w:rPr>
          <w:rFonts w:eastAsia="Noto Sans CJK SC" w:ascii="Aptos" w:hAnsi="Aptos"/>
          <w:color w:val="202020"/>
        </w:rPr>
        <w:t>2025年10月左右首次买入；2026年2月第一次卖出；2026年3月再次买入并继续持有一段时间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仓位特征：</w:t>
      </w:r>
      <w:r>
        <w:rPr>
          <w:rFonts w:eastAsia="Noto Sans CJK SC" w:ascii="Aptos" w:hAnsi="Aptos"/>
          <w:color w:val="202020"/>
        </w:rPr>
        <w:t>初始较轻，后续逐步加到约20%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买入逻辑：</w:t>
      </w:r>
      <w:r>
        <w:rPr>
          <w:rFonts w:eastAsia="Noto Sans CJK SC" w:ascii="Aptos" w:hAnsi="Aptos"/>
          <w:color w:val="202020"/>
        </w:rPr>
        <w:t>储能行业景气上行、政策催化、订单放量与技术走势共振，用户希望同时挣景气成长、趋势强化与部分估值修复的钱。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过程复盘：</w:t>
      </w:r>
      <w:r>
        <w:rPr>
          <w:rFonts w:eastAsia="Noto Sans CJK SC" w:ascii="Aptos" w:hAnsi="Aptos"/>
          <w:color w:val="202020"/>
        </w:rPr>
        <w:t>前期板块与个股持续走强，随后市场风格切换、板块转弱、技术破位，但未严格执行卖出纪律，最终在情绪接近崩溃时卖出；之后又因技术改善再次买入。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最终结果：</w:t>
      </w:r>
      <w:r>
        <w:rPr>
          <w:rFonts w:eastAsia="Noto Sans CJK SC" w:ascii="Aptos" w:hAnsi="Aptos"/>
          <w:color w:val="202020"/>
        </w:rPr>
        <w:t>阶段性大幅回撤，持有体验差。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核心复盘：</w:t>
      </w:r>
      <w:r>
        <w:rPr>
          <w:rFonts w:eastAsia="Noto Sans CJK SC" w:ascii="Aptos" w:hAnsi="Aptos"/>
          <w:color w:val="202020"/>
        </w:rPr>
        <w:t>核心问题不是方向判断，而是体系混用：买入时按景气与趋势，持有时转为基本面信仰，卖出时由情绪触发。说明不适合把高拥挤成长后半段作为重仓主战场。</w:t>
      </w:r>
    </w:p>
    <w:p>
      <w:pPr>
        <w:pStyle w:val="Heading2"/>
      </w:pPr>
      <w:r>
        <w:rPr>
          <w:rFonts w:eastAsia="Noto Sans CJK SC" w:ascii="Aptos" w:hAnsi="Aptos"/>
        </w:rPr>
        <w:t>2. 格力电器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交易定位：</w:t>
      </w:r>
      <w:r>
        <w:rPr>
          <w:rFonts w:eastAsia="Noto Sans CJK SC" w:ascii="Aptos" w:hAnsi="Aptos"/>
          <w:color w:val="202020"/>
        </w:rPr>
        <w:t>低估值高分红框架下的估值修复型交易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时间区间：</w:t>
      </w:r>
      <w:r>
        <w:rPr>
          <w:rFonts w:eastAsia="Noto Sans CJK SC" w:ascii="Aptos" w:hAnsi="Aptos"/>
          <w:color w:val="202020"/>
        </w:rPr>
        <w:t>2025年3月左右买入；2025年8月左右卖出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仓位特征：</w:t>
      </w:r>
      <w:r>
        <w:rPr>
          <w:rFonts w:eastAsia="Noto Sans CJK SC" w:ascii="Aptos" w:hAnsi="Aptos"/>
          <w:color w:val="202020"/>
        </w:rPr>
        <w:t>累计约总仓位50%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买入逻辑：</w:t>
      </w:r>
      <w:r>
        <w:rPr>
          <w:rFonts w:eastAsia="Noto Sans CJK SC" w:ascii="Aptos" w:hAnsi="Aptos"/>
          <w:color w:val="202020"/>
        </w:rPr>
        <w:t>看重低估值、高分红、较好的利润率和相对同行折价，希望挣估值回归与部分业绩改善的钱。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过程复盘：</w:t>
      </w:r>
      <w:r>
        <w:rPr>
          <w:rFonts w:eastAsia="Noto Sans CJK SC" w:ascii="Aptos" w:hAnsi="Aptos"/>
          <w:color w:val="202020"/>
        </w:rPr>
        <w:t>持有期间半年报明显低于预期，经营稳态被破坏，但未立即退出；随后因时间价值和机会成本考虑切换到其他方向。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最终结果：</w:t>
      </w:r>
      <w:r>
        <w:rPr>
          <w:rFonts w:eastAsia="Noto Sans CJK SC" w:ascii="Aptos" w:hAnsi="Aptos"/>
          <w:color w:val="202020"/>
        </w:rPr>
        <w:t>失败案例。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核心复盘：</w:t>
      </w:r>
      <w:r>
        <w:rPr>
          <w:rFonts w:eastAsia="Noto Sans CJK SC" w:ascii="Aptos" w:hAnsi="Aptos"/>
          <w:color w:val="202020"/>
        </w:rPr>
        <w:t>问题不在“便宜”本身，而在于把“静态便宜”误当成上涨驱动力。说明不适合纯低估值、弱催化、慢修复的赚钱类型。</w:t>
      </w:r>
    </w:p>
    <w:p>
      <w:pPr>
        <w:pStyle w:val="Heading2"/>
      </w:pPr>
      <w:r>
        <w:rPr>
          <w:rFonts w:eastAsia="Noto Sans CJK SC" w:ascii="Aptos" w:hAnsi="Aptos"/>
        </w:rPr>
        <w:t>3. 德业股份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交易定位：</w:t>
      </w:r>
      <w:r>
        <w:rPr>
          <w:rFonts w:eastAsia="Noto Sans CJK SC" w:ascii="Aptos" w:hAnsi="Aptos"/>
          <w:color w:val="202020"/>
        </w:rPr>
        <w:t>景气成长 + 预期差 + 估值抬升的复合型交易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时间区间：</w:t>
      </w:r>
      <w:r>
        <w:rPr>
          <w:rFonts w:eastAsia="Noto Sans CJK SC" w:ascii="Aptos" w:hAnsi="Aptos"/>
          <w:color w:val="202020"/>
        </w:rPr>
        <w:t>2025年8月左右买入并持有至阶段高点后卖出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仓位特征：</w:t>
      </w:r>
      <w:r>
        <w:rPr>
          <w:rFonts w:eastAsia="Noto Sans CJK SC" w:ascii="Aptos" w:hAnsi="Aptos"/>
          <w:color w:val="202020"/>
        </w:rPr>
        <w:t>逐步加仓，最高约60%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买入逻辑：</w:t>
      </w:r>
      <w:r>
        <w:rPr>
          <w:rFonts w:eastAsia="Noto Sans CJK SC" w:ascii="Aptos" w:hAnsi="Aptos"/>
          <w:color w:val="202020"/>
        </w:rPr>
        <w:t>看好储能与逆变器景气、海外渠道优势、ROE与盈利质量，且估值不算贵，希望挣“戴维斯双击”。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过程复盘：</w:t>
      </w:r>
      <w:r>
        <w:rPr>
          <w:rFonts w:eastAsia="Noto Sans CJK SC" w:ascii="Aptos" w:hAnsi="Aptos"/>
          <w:color w:val="202020"/>
        </w:rPr>
        <w:t>行业景气、板块走势和市场风险偏好整体向上，公司业绩虽有短期miss，但市场迅速修复，后续股价继续上行。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最终结果：</w:t>
      </w:r>
      <w:r>
        <w:rPr>
          <w:rFonts w:eastAsia="Noto Sans CJK SC" w:ascii="Aptos" w:hAnsi="Aptos"/>
          <w:color w:val="202020"/>
        </w:rPr>
        <w:t>盈利较高，持有体验较顺。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核心复盘：</w:t>
      </w:r>
      <w:r>
        <w:rPr>
          <w:rFonts w:eastAsia="Noto Sans CJK SC" w:ascii="Aptos" w:hAnsi="Aptos"/>
          <w:color w:val="202020"/>
        </w:rPr>
        <w:t>这是较接近正样本的一笔：有产业逻辑、有边际优势、有预期差，且市场尚未完全拥挤。问题在于仓位过重，以及后半段涨幅已部分超出基本面理解。</w:t>
      </w:r>
    </w:p>
    <w:p>
      <w:pPr>
        <w:pStyle w:val="Heading2"/>
      </w:pPr>
      <w:r>
        <w:rPr>
          <w:rFonts w:eastAsia="Noto Sans CJK SC" w:ascii="Aptos" w:hAnsi="Aptos"/>
        </w:rPr>
        <w:t>4. 天立国际控股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交易定位：</w:t>
      </w:r>
      <w:r>
        <w:rPr>
          <w:rFonts w:eastAsia="Noto Sans CJK SC" w:ascii="Aptos" w:hAnsi="Aptos"/>
          <w:color w:val="202020"/>
        </w:rPr>
        <w:t>政策错杀后的预期差修复 + 估值修复 + 技术兑现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时间区间：</w:t>
      </w:r>
      <w:r>
        <w:rPr>
          <w:rFonts w:eastAsia="Noto Sans CJK SC" w:ascii="Aptos" w:hAnsi="Aptos"/>
          <w:color w:val="202020"/>
        </w:rPr>
        <w:t>2022年12月左右买入，持有约半个月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仓位特征：</w:t>
      </w:r>
      <w:r>
        <w:rPr>
          <w:rFonts w:eastAsia="Noto Sans CJK SC" w:ascii="Aptos" w:hAnsi="Aptos"/>
          <w:color w:val="202020"/>
        </w:rPr>
        <w:t>轻仓，不到10%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买入逻辑：</w:t>
      </w:r>
      <w:r>
        <w:rPr>
          <w:rFonts w:eastAsia="Noto Sans CJK SC" w:ascii="Aptos" w:hAnsi="Aptos"/>
          <w:color w:val="202020"/>
        </w:rPr>
        <w:t>“双减”后市场过度悲观，但公司保留高中业务、账上现金充沛，财报显示持续经营业务修复，技术形态也配合买入。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过程复盘：</w:t>
      </w:r>
      <w:r>
        <w:rPr>
          <w:rFonts w:eastAsia="Noto Sans CJK SC" w:ascii="Aptos" w:hAnsi="Aptos"/>
          <w:color w:val="202020"/>
        </w:rPr>
        <w:t>买入后约7天上涨15%到18%，随后技术形态破位，按纪律卖出。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最终结果：</w:t>
      </w:r>
      <w:r>
        <w:rPr>
          <w:rFonts w:eastAsia="Noto Sans CJK SC" w:ascii="Aptos" w:hAnsi="Aptos"/>
          <w:color w:val="202020"/>
        </w:rPr>
        <w:t>锁定约15%利润。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核心复盘：</w:t>
      </w:r>
      <w:r>
        <w:rPr>
          <w:rFonts w:eastAsia="Noto Sans CJK SC" w:ascii="Aptos" w:hAnsi="Aptos"/>
          <w:color w:val="202020"/>
        </w:rPr>
        <w:t>正样本。优点在于逻辑集中、仓位与风险匹配、买卖一致且边界清楚。说明适合做困境或政策冲击后的修复波段。</w:t>
      </w:r>
    </w:p>
    <w:p>
      <w:pPr>
        <w:pStyle w:val="Heading2"/>
      </w:pPr>
      <w:r>
        <w:rPr>
          <w:rFonts w:eastAsia="Noto Sans CJK SC" w:ascii="Aptos" w:hAnsi="Aptos"/>
        </w:rPr>
        <w:t>5. 长江电力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交易定位：</w:t>
      </w:r>
      <w:r>
        <w:rPr>
          <w:rFonts w:eastAsia="Noto Sans CJK SC" w:ascii="Aptos" w:hAnsi="Aptos"/>
          <w:color w:val="202020"/>
        </w:rPr>
        <w:t>高股息、防守配置、类债型公用事业持有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时间区间：</w:t>
      </w:r>
      <w:r>
        <w:rPr>
          <w:rFonts w:eastAsia="Noto Sans CJK SC" w:ascii="Aptos" w:hAnsi="Aptos"/>
          <w:color w:val="202020"/>
        </w:rPr>
        <w:t>2022年4月左右买入，后续逐步减仓并最终清仓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仓位特征：</w:t>
      </w:r>
      <w:r>
        <w:rPr>
          <w:rFonts w:eastAsia="Noto Sans CJK SC" w:ascii="Aptos" w:hAnsi="Aptos"/>
          <w:color w:val="202020"/>
        </w:rPr>
        <w:t>约30%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买入逻辑：</w:t>
      </w:r>
      <w:r>
        <w:rPr>
          <w:rFonts w:eastAsia="Noto Sans CJK SC" w:ascii="Aptos" w:hAnsi="Aptos"/>
          <w:color w:val="202020"/>
        </w:rPr>
        <w:t>把长江电力视为类债券资产，依靠高股息、稳定分红、资产质量与长期现金流获取较稳的中长期回报。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过程复盘：</w:t>
      </w:r>
      <w:r>
        <w:rPr>
          <w:rFonts w:eastAsia="Noto Sans CJK SC" w:ascii="Aptos" w:hAnsi="Aptos"/>
          <w:color w:val="202020"/>
        </w:rPr>
        <w:t>年报较好，但地方政策资金占用等扰动强化了对国企治理外部性的担忧，最终中途减仓并清仓。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最终结果：</w:t>
      </w:r>
      <w:r>
        <w:rPr>
          <w:rFonts w:eastAsia="Noto Sans CJK SC" w:ascii="Aptos" w:hAnsi="Aptos"/>
          <w:color w:val="202020"/>
        </w:rPr>
        <w:t>大致平出，可能略亏。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核心复盘：</w:t>
      </w:r>
      <w:r>
        <w:rPr>
          <w:rFonts w:eastAsia="Noto Sans CJK SC" w:ascii="Aptos" w:hAnsi="Aptos"/>
          <w:color w:val="202020"/>
        </w:rPr>
        <w:t>这是一笔资产属性错配的交易。理解了高股息逻辑，但不适合低波动、低弹性、慢兑现的纯配置收益。</w:t>
      </w:r>
    </w:p>
    <w:p>
      <w:pPr>
        <w:pStyle w:val="Heading2"/>
      </w:pPr>
      <w:r>
        <w:rPr>
          <w:rFonts w:eastAsia="Noto Sans CJK SC" w:ascii="Aptos" w:hAnsi="Aptos"/>
        </w:rPr>
        <w:t>6. 新金路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交易定位：</w:t>
      </w:r>
      <w:r>
        <w:rPr>
          <w:rFonts w:eastAsia="Noto Sans CJK SC" w:ascii="Aptos" w:hAnsi="Aptos"/>
          <w:color w:val="202020"/>
        </w:rPr>
        <w:t>题材预期 + 板块情绪 + 技术试错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时间区间：</w:t>
      </w:r>
      <w:r>
        <w:rPr>
          <w:rFonts w:eastAsia="Noto Sans CJK SC" w:ascii="Aptos" w:hAnsi="Aptos"/>
          <w:color w:val="202020"/>
        </w:rPr>
        <w:t>2026年2月左右两次试错性买入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仓位特征：</w:t>
      </w:r>
      <w:r>
        <w:rPr>
          <w:rFonts w:eastAsia="Noto Sans CJK SC" w:ascii="Aptos" w:hAnsi="Aptos"/>
          <w:color w:val="202020"/>
        </w:rPr>
        <w:t>约5%到10%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买入逻辑：</w:t>
      </w:r>
      <w:r>
        <w:rPr>
          <w:rFonts w:eastAsia="Noto Sans CJK SC" w:ascii="Aptos" w:hAnsi="Aptos"/>
          <w:color w:val="202020"/>
        </w:rPr>
        <w:t>关注矿业资源、技改与复工带来的题材预期，同时结合底部分型双K等技术信号买入。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过程复盘：</w:t>
      </w:r>
      <w:r>
        <w:rPr>
          <w:rFonts w:eastAsia="Noto Sans CJK SC" w:ascii="Aptos" w:hAnsi="Aptos"/>
          <w:color w:val="202020"/>
        </w:rPr>
        <w:t>有色板块情绪退潮、资金博弈加剧，股价跌破止损位，两次买入均按纪律离场。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最终结果：</w:t>
      </w:r>
      <w:r>
        <w:rPr>
          <w:rFonts w:eastAsia="Noto Sans CJK SC" w:ascii="Aptos" w:hAnsi="Aptos"/>
          <w:color w:val="202020"/>
        </w:rPr>
        <w:t>整体亏损约十几个点。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核心复盘：</w:t>
      </w:r>
      <w:r>
        <w:rPr>
          <w:rFonts w:eastAsia="Noto Sans CJK SC" w:ascii="Aptos" w:hAnsi="Aptos"/>
          <w:color w:val="202020"/>
        </w:rPr>
        <w:t>不是成功样本，但属于“动作正确、结果亏损”的合格试错。说明可参与此类机会，但只能小仓位、纯技术、快止损，不能升级为主仓逻辑。</w:t>
      </w:r>
    </w:p>
    <w:p>
      <w:pPr>
        <w:pStyle w:val="Heading2"/>
      </w:pPr>
      <w:r>
        <w:rPr>
          <w:rFonts w:eastAsia="Noto Sans CJK SC" w:ascii="Aptos" w:hAnsi="Aptos"/>
        </w:rPr>
        <w:t>7. 腾讯控股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交易定位：</w:t>
      </w:r>
      <w:r>
        <w:rPr>
          <w:rFonts w:eastAsia="Noto Sans CJK SC" w:ascii="Aptos" w:hAnsi="Aptos"/>
          <w:color w:val="202020"/>
        </w:rPr>
        <w:t>高质量核心资产在AI主线下的业绩验证 + 质量重估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时间区间：</w:t>
      </w:r>
      <w:r>
        <w:rPr>
          <w:rFonts w:eastAsia="Noto Sans CJK SC" w:ascii="Aptos" w:hAnsi="Aptos"/>
          <w:color w:val="202020"/>
        </w:rPr>
        <w:t>2025年7月11日买入；2026年1月卖出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仓位特征：</w:t>
      </w:r>
      <w:r>
        <w:rPr>
          <w:rFonts w:eastAsia="Noto Sans CJK SC" w:ascii="Aptos" w:hAnsi="Aptos"/>
          <w:color w:val="202020"/>
        </w:rPr>
        <w:t>约3%到4%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买入逻辑：</w:t>
      </w:r>
      <w:r>
        <w:rPr>
          <w:rFonts w:eastAsia="Noto Sans CJK SC" w:ascii="Aptos" w:hAnsi="Aptos"/>
          <w:color w:val="202020"/>
        </w:rPr>
        <w:t>大股东减持压力边际下降，腾讯作为港股互联网龙头，在AI主线下比大量概念性标的更具业绩兑现能力。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过程复盘：</w:t>
      </w:r>
      <w:r>
        <w:rPr>
          <w:rFonts w:eastAsia="Noto Sans CJK SC" w:ascii="Aptos" w:hAnsi="Aptos"/>
          <w:color w:val="202020"/>
        </w:rPr>
        <w:t>持有期间业绩良好，视频号、广告和游戏增长持续超预期，股价表现顺畅，用户未做额外操作，后基于估值偏高主动兑现。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最终结果：</w:t>
      </w:r>
      <w:r>
        <w:rPr>
          <w:rFonts w:eastAsia="Noto Sans CJK SC" w:ascii="Aptos" w:hAnsi="Aptos"/>
          <w:color w:val="202020"/>
        </w:rPr>
        <w:t>盈利约20%。</w:t>
      </w:r>
    </w:p>
    <w:p>
      <w:pPr>
        <w:spacing w:after="160" w:line="324" w:lineRule="auto"/>
      </w:pPr>
      <w:r>
        <w:rPr>
          <w:rFonts w:eastAsia="Noto Sans CJK SC" w:ascii="Aptos" w:hAnsi="Aptos"/>
          <w:b/>
          <w:color w:val="1F4E79"/>
        </w:rPr>
        <w:t>核心复盘：</w:t>
      </w:r>
      <w:r>
        <w:rPr>
          <w:rFonts w:eastAsia="Noto Sans CJK SC" w:ascii="Aptos" w:hAnsi="Aptos"/>
          <w:color w:val="202020"/>
        </w:rPr>
        <w:t>正样本。说明用户不仅适合做成长预期差，也适合做高质量龙头在新主线下的业绩验证与重估。问题在于仓位偏轻、卖出理由尚可进一步量化。</w:t>
      </w:r>
    </w:p>
    <w:p>
      <w:pPr>
        <w:pStyle w:val="Heading1"/>
      </w:pPr>
      <w:r>
        <w:rPr>
          <w:rFonts w:eastAsia="Noto Sans CJK SC" w:ascii="Aptos" w:hAnsi="Aptos"/>
        </w:rPr>
        <w:t>六、未细拆但可先归类的交易</w:t>
      </w:r>
    </w:p>
    <w:p>
      <w:pPr>
        <w:spacing w:after="160" w:line="324" w:lineRule="auto"/>
      </w:pPr>
      <w:r>
        <w:rPr>
          <w:rFonts w:eastAsia="Noto Sans CJK SC" w:ascii="Aptos" w:hAnsi="Aptos"/>
          <w:color w:val="202020"/>
        </w:rPr>
        <w:t>中国神华、中银证券、紫金矿业三笔交易，目前主观上都被归为“听消息”或“脑子一热”的失败样本。这三笔即使后续不做很细的产业和公司拆解，也可以先作为“噪音型交易样本”处理。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复盘重点不是研究公司本身，而是识别：为什么会在没有清晰定义“挣什么钱”的前提下出手。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重点关注四个问题：信息来源是否替代了自己的判断；买入前是否定义核心变量；仓位是否与不确定性匹配；退出是否足够快。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这类样本的最大价值，在于帮助清理系统里的“噪音入口”，而不是寻找新的投资主路径。</w:t>
      </w:r>
    </w:p>
    <w:p>
      <w:pPr>
        <w:pStyle w:val="Heading1"/>
      </w:pPr>
      <w:r>
        <w:rPr>
          <w:rFonts w:eastAsia="Noto Sans CJK SC" w:ascii="Aptos" w:hAnsi="Aptos"/>
        </w:rPr>
        <w:t>七、后续方法收束</w:t>
      </w:r>
    </w:p>
    <w:p>
      <w:pPr>
        <w:spacing w:after="160" w:line="324" w:lineRule="auto"/>
      </w:pPr>
      <w:r>
        <w:rPr>
          <w:rFonts w:eastAsia="Noto Sans CJK SC" w:ascii="Aptos" w:hAnsi="Aptos"/>
          <w:color w:val="202020"/>
        </w:rPr>
        <w:t>基于当前样本，未来最值得保留并继续深挖的主路径，可以定义为“研究驱动的中期预期差交易”。核心不是买便宜，也不是追最热，而是围绕真实变量变化、市场预期修正和后续验证路径去布局。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买入前先定义未来 1 到 4 个季度会变化的核心变量。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这些变量必须与收入、利润、现金流、价格、订单、渠道、市场份额等现实因素相关。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市场尚未充分定价，但变化已经开始；技术面只负责节奏和风控，不负责改变交易类型。</w:t>
      </w:r>
    </w:p>
    <w:p>
      <w:pPr>
        <w:pStyle w:val="ListBullet"/>
        <w:spacing w:after="80" w:line="300" w:lineRule="auto"/>
      </w:pPr>
      <w:r>
        <w:rPr>
          <w:rFonts w:eastAsia="Noto Sans CJK SC" w:ascii="Aptos" w:hAnsi="Aptos"/>
          <w:color w:val="202020"/>
        </w:rPr>
        <w:t>仓位要与波动、确定性、验证程度挂钩，而不是凭主观喜欢程度决定。</w:t>
      </w:r>
    </w:p>
    <w:p>
      <w:pPr>
        <w:pStyle w:val="Heading1"/>
      </w:pPr>
      <w:r>
        <w:rPr>
          <w:rFonts w:eastAsia="Noto Sans CJK SC" w:ascii="Aptos" w:hAnsi="Aptos"/>
        </w:rPr>
        <w:t>八、后续复盘输入模板</w:t>
      </w:r>
    </w:p>
    <w:p>
      <w:pPr>
        <w:spacing w:after="160" w:line="324" w:lineRule="auto"/>
      </w:pPr>
      <w:r>
        <w:rPr>
          <w:rFonts w:eastAsia="Noto Sans CJK SC" w:ascii="Aptos" w:hAnsi="Aptos"/>
          <w:color w:val="202020"/>
        </w:rPr>
        <w:t>后续如果继续追加交易复盘，建议统一使用下面这套模板，方便持续归档与横向比较。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6FA"/>
          </w:tcPr>
          <w:p>
            <w:r>
              <w:rPr>
                <w:rFonts w:eastAsia="Noto Sans CJK SC" w:ascii="Aptos" w:hAnsi="Aptos"/>
                <w:b/>
                <w:color w:val="1F4E79"/>
              </w:rPr>
              <w:t>标的名称</w:t>
            </w:r>
          </w:p>
        </w:tc>
        <w:tc>
          <w:tcPr>
            <w:tcW w:type="dxa" w:w="6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6FA"/>
          </w:tcPr>
          <w:p>
            <w:r>
              <w:rPr>
                <w:rFonts w:eastAsia="Noto Sans CJK SC" w:ascii="Aptos" w:hAnsi="Aptos"/>
                <w:b/>
                <w:color w:val="1F4E79"/>
              </w:rPr>
              <w:t>大致买入时间</w:t>
            </w:r>
          </w:p>
        </w:tc>
        <w:tc>
          <w:tcPr>
            <w:tcW w:type="dxa" w:w="6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6FA"/>
          </w:tcPr>
          <w:p>
            <w:r>
              <w:rPr>
                <w:rFonts w:eastAsia="Noto Sans CJK SC" w:ascii="Aptos" w:hAnsi="Aptos"/>
                <w:b/>
                <w:color w:val="1F4E79"/>
              </w:rPr>
              <w:t>买入核心理由</w:t>
            </w:r>
          </w:p>
        </w:tc>
        <w:tc>
          <w:tcPr>
            <w:tcW w:type="dxa" w:w="6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6FA"/>
          </w:tcPr>
          <w:p>
            <w:r>
              <w:rPr>
                <w:rFonts w:eastAsia="Noto Sans CJK SC" w:ascii="Aptos" w:hAnsi="Aptos"/>
                <w:b/>
                <w:color w:val="1F4E79"/>
              </w:rPr>
              <w:t>大致仓位</w:t>
            </w:r>
          </w:p>
        </w:tc>
        <w:tc>
          <w:tcPr>
            <w:tcW w:type="dxa" w:w="6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6FA"/>
          </w:tcPr>
          <w:p>
            <w:r>
              <w:rPr>
                <w:rFonts w:eastAsia="Noto Sans CJK SC" w:ascii="Aptos" w:hAnsi="Aptos"/>
                <w:b/>
                <w:color w:val="1F4E79"/>
              </w:rPr>
              <w:t>持有期间发生了什么关键变化</w:t>
            </w:r>
          </w:p>
        </w:tc>
        <w:tc>
          <w:tcPr>
            <w:tcW w:type="dxa" w:w="6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6FA"/>
          </w:tcPr>
          <w:p>
            <w:r>
              <w:rPr>
                <w:rFonts w:eastAsia="Noto Sans CJK SC" w:ascii="Aptos" w:hAnsi="Aptos"/>
                <w:b/>
                <w:color w:val="1F4E79"/>
              </w:rPr>
              <w:t>最后怎么卖出，或者现在是否仍持有</w:t>
            </w:r>
          </w:p>
        </w:tc>
        <w:tc>
          <w:tcPr>
            <w:tcW w:type="dxa" w:w="6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6FA"/>
          </w:tcPr>
          <w:p>
            <w:r>
              <w:rPr>
                <w:rFonts w:eastAsia="Noto Sans CJK SC" w:ascii="Aptos" w:hAnsi="Aptos"/>
                <w:b/>
                <w:color w:val="1F4E79"/>
              </w:rPr>
              <w:t>最终结果大概是赚还是亏</w:t>
            </w:r>
          </w:p>
        </w:tc>
        <w:tc>
          <w:tcPr>
            <w:tcW w:type="dxa" w:w="6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6FA"/>
          </w:tcPr>
          <w:p>
            <w:r>
              <w:rPr>
                <w:rFonts w:eastAsia="Noto Sans CJK SC" w:ascii="Aptos" w:hAnsi="Aptos"/>
                <w:b/>
                <w:color w:val="1F4E79"/>
              </w:rPr>
              <w:t>回头看这笔交易最大的优点或最大的问题是什么</w:t>
            </w:r>
          </w:p>
        </w:tc>
        <w:tc>
          <w:tcPr>
            <w:tcW w:type="dxa" w:w="6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ans CJK SC" w:ascii="Aptos" w:hAnsi="Aptos"/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Aptos" w:hAnsi="Aptos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