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resample it onto a one-minute</w:t>
      </w:r>
      <w:r>
        <w:t xml:space="preserve"> </w:t>
      </w:r>
      <w:r>
        <w:t xml:space="preserve">grid relative to 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0.997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13</w:t>
      </w:r>
      <w:r>
        <w:t xml:space="preserve"> </w:t>
      </w:r>
      <w:r>
        <w:t xml:space="preserve">percent of the time, against a chance rate of about 2 percent, and it places the</w:t>
      </w:r>
      <w:r>
        <w:t xml:space="preserve"> </w:t>
      </w:r>
      <w:r>
        <w:t xml:space="preserve">correct person in its top five guesses 42 percent of the time, against a chance</w:t>
      </w:r>
      <w:r>
        <w:t xml:space="preserve"> </w:t>
      </w:r>
      <w:r>
        <w:t xml:space="preserve">rate of 11 percent.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2026-08-09T09:41:14Z</dcterms:created>
  <dcterms:modified xsi:type="dcterms:W3CDTF">2026-08-09T09:41:14Z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