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trike w:val="0"/>
        </w:rPr>
        <w:t>CMA Methodology Development Log</w:t>
      </w:r>
    </w:p>
    <w:p>
      <w:r>
        <w:rPr>
          <w:strike w:val="0"/>
        </w:rPr>
        <w:t>This log records implemented changes, proposed decisions, evidence, and unresolved choices. Numerical results belong to individual dated run summaries. Entries are additive; a later decision should supersede an earlier entry explicitly.</w:t>
      </w:r>
    </w:p>
    <w:p>
      <w:pPr>
        <w:pStyle w:val="Heading1"/>
      </w:pPr>
      <w:r>
        <w:rPr>
          <w:strike w:val="0"/>
        </w:rPr>
        <w:t>2026-10-06: Initial Data Layer</w:t>
      </w:r>
    </w:p>
    <w:p>
      <w:r>
        <w:rPr>
          <w:strike w:val="0"/>
        </w:rPr>
        <w:t>Status: implemented, not an approved forecasting methodology.</w:t>
      </w:r>
    </w:p>
    <w:p>
      <w:r>
        <w:rPr>
          <w:strike w:val="0"/>
        </w:rPr>
        <w:t>Implemented Bloomberg metadata/history retrieval, public Treasury par retrieval, raw official-source archiving, unit normalization, coverage reporting, and common-date curve selection. Generic Bloomberg yields remain separate from official par yields pending definition review. Official-source archives retain download manifests and checksums.</w:t>
      </w:r>
    </w:p>
    <w:p>
      <w:r>
        <w:rPr>
          <w:strike w:val="0"/>
        </w:rPr>
        <w:t>User-selected calibration window: 30 years, October 1996 through September 2026. Monthly observations use each series' last available date in a completed calendar month. Missing observations are not filled. Monthly Bloomberg requests use calendar periodicity.</w:t>
      </w:r>
    </w:p>
    <w:p>
      <w:r>
        <w:rPr>
          <w:strike w:val="0"/>
        </w:rPr>
        <w:t>Operational change: Treasury downloads now report annual progress and identify the year on failure. Download-all tasks share one Bloomberg client to avoid reconfiguring the xbbg engine between metadata and history requests.</w:t>
      </w:r>
    </w:p>
    <w:p>
      <w:pPr>
        <w:pStyle w:val="Heading1"/>
      </w:pPr>
      <w:r>
        <w:rPr>
          <w:strike w:val="0"/>
        </w:rPr>
        <w:t>2026-10-06: Official Input Processing And Candidate Anchors</w:t>
      </w:r>
    </w:p>
    <w:p>
      <w:r>
        <w:rPr>
          <w:strike w:val="0"/>
        </w:rPr>
        <w:t>Status: implemented for research and review. No anchors approved.</w:t>
      </w:r>
    </w:p>
    <w:p>
      <w:r>
        <w:rPr>
          <w:strike w:val="0"/>
        </w:rPr>
        <w:t>Added explicit source_parsers.py, estimate_anchors.py, and analysis.py modules, plus process-inputs and anchor-review entry-point tasks. Download-all remains an acquisition workflow; it does not silently estimate or approve equilibrium levels.</w:t>
      </w:r>
    </w:p>
    <w:p>
      <w:r>
        <w:rPr>
          <w:strike w:val="0"/>
        </w:rPr>
        <w:t>Finding: the previously archived Inflation.xlsx contains long-run CPI forecasts, not the PCE forecast needed for a PCE-based neutral-rate bridge. Added the official SPF median PCE10 workbook. Preserve CPI separately. HLW/LW use core PCE whereas PCE10 is headline PCE; expose a definition adjustment rather than assuming exact equivalence.</w:t>
      </w:r>
    </w:p>
    <w:p>
      <w:r>
        <w:rPr>
          <w:strike w:val="0"/>
        </w:rPr>
        <w:t>Transformation decisions:</w:t>
      </w:r>
    </w:p>
    <w:p>
      <w:pPr>
        <w:numPr>
          <w:ilvl w:val="0"/>
          <w:numId w:val="10"/>
        </w:numPr>
        <w:ind w:left="317" w:hanging="245"/>
      </w:pPr>
      <w:r>
        <w:rPr>
          <w:strike w:val="0"/>
        </w:rPr>
        <w:t>Preserve quarterly macro/survey observations at native frequency.</w:t>
      </w:r>
    </w:p>
    <w:p>
      <w:pPr>
        <w:numPr>
          <w:ilvl w:val="0"/>
          <w:numId w:val="10"/>
        </w:numPr>
        <w:ind w:left="317" w:hanging="245"/>
      </w:pPr>
      <w:r>
        <w:rPr>
          <w:strike w:val="0"/>
        </w:rPr>
        <w:t>Read the publisher's monthly ACM worksheet and check every maturity's yield decomposition.</w:t>
      </w:r>
    </w:p>
    <w:p>
      <w:pPr>
        <w:numPr>
          <w:ilvl w:val="0"/>
          <w:numId w:val="10"/>
        </w:numPr>
        <w:ind w:left="317" w:hanging="245"/>
      </w:pPr>
      <w:r>
        <w:rPr>
          <w:strike w:val="0"/>
        </w:rPr>
        <w:t>Retain every recognized HLW real-time quarterly vintage sheet, without inventing release dates.</w:t>
      </w:r>
    </w:p>
    <w:p>
      <w:pPr>
        <w:numPr>
          <w:ilvl w:val="0"/>
          <w:numId w:val="10"/>
        </w:numPr>
        <w:ind w:left="317" w:hanging="245"/>
      </w:pPr>
      <w:r>
        <w:rPr>
          <w:strike w:val="0"/>
        </w:rPr>
        <w:t>Require raw-file checksum agreement before parsing.</w:t>
      </w:r>
    </w:p>
    <w:p>
      <w:pPr>
        <w:numPr>
          <w:ilvl w:val="0"/>
          <w:numId w:val="10"/>
        </w:numPr>
        <w:ind w:left="317" w:hanging="245"/>
      </w:pPr>
      <w:r>
        <w:rPr>
          <w:strike w:val="0"/>
        </w:rPr>
        <w:t>Keep observation cutoffs distinct from verified information dates; all new review outputs remain point_in_time_eligible=false.</w:t>
      </w:r>
    </w:p>
    <w:p>
      <w:r>
        <w:rPr>
          <w:strike w:val="0"/>
        </w:rPr>
        <w:t>Candidate decisions:</w:t>
      </w:r>
    </w:p>
    <w:p>
      <w:pPr>
        <w:numPr>
          <w:ilvl w:val="0"/>
          <w:numId w:val="11"/>
        </w:numPr>
        <w:ind w:left="317" w:hanging="245"/>
      </w:pPr>
      <w:r>
        <w:rPr>
          <w:strike w:val="0"/>
        </w:rPr>
        <w:t>Compare latest HLW, a 20-quarter HLW median, and latest one-sided LW separately.</w:t>
      </w:r>
    </w:p>
    <w:p>
      <w:pPr>
        <w:numPr>
          <w:ilvl w:val="0"/>
          <w:numId w:val="11"/>
        </w:numPr>
        <w:ind w:left="317" w:hanging="245"/>
      </w:pPr>
      <w:r>
        <w:rPr>
          <w:strike w:val="0"/>
        </w:rPr>
        <w:t>Add latest SPF PCE10 to the selected real-neutral input using an explicitly approximate additive convention.</w:t>
      </w:r>
    </w:p>
    <w:p>
      <w:pPr>
        <w:numPr>
          <w:ilvl w:val="0"/>
          <w:numId w:val="11"/>
        </w:numPr>
        <w:ind w:left="317" w:hanging="245"/>
      </w:pPr>
      <w:r>
        <w:rPr>
          <w:strike w:val="0"/>
        </w:rPr>
        <w:t>Expose policy-to-3m and inflation-definition adjustments, initially zero and unapproved.</w:t>
      </w:r>
    </w:p>
    <w:p>
      <w:pPr>
        <w:numPr>
          <w:ilvl w:val="0"/>
          <w:numId w:val="11"/>
        </w:numPr>
        <w:ind w:left="317" w:hanging="245"/>
      </w:pPr>
      <w:r>
        <w:rPr>
          <w:strike w:val="0"/>
        </w:rPr>
        <w:t>Estimate par slopes relative to three-month Treasury yields, using equal-weight same-date paired monthly observations.</w:t>
      </w:r>
    </w:p>
    <w:p>
      <w:pPr>
        <w:numPr>
          <w:ilvl w:val="0"/>
          <w:numId w:val="11"/>
        </w:numPr>
        <w:ind w:left="317" w:hanging="245"/>
      </w:pPr>
      <w:r>
        <w:rPr>
          <w:strike w:val="0"/>
        </w:rPr>
        <w:t>Report 10-, 20-, and 30-year windows, mean/median and empirical spread quantiles; require 60 paired months for included primary nodes.</w:t>
      </w:r>
    </w:p>
    <w:p>
      <w:pPr>
        <w:numPr>
          <w:ilvl w:val="0"/>
          <w:numId w:val="11"/>
        </w:numPr>
        <w:ind w:left="317" w:hanging="245"/>
      </w:pPr>
      <w:r>
        <w:rPr>
          <w:strike w:val="0"/>
        </w:rPr>
        <w:t>Use the 30-year mean window and HLW latest only as provisional primary research settings.</w:t>
      </w:r>
    </w:p>
    <w:p>
      <w:pPr>
        <w:numPr>
          <w:ilvl w:val="0"/>
          <w:numId w:val="11"/>
        </w:numPr>
        <w:ind w:left="317" w:hanging="245"/>
      </w:pPr>
      <w:r>
        <w:rPr>
          <w:strike w:val="0"/>
        </w:rPr>
        <w:t>Keep ACM term premiums diagnostic; do not add them to par spreads.</w:t>
      </w:r>
    </w:p>
    <w:p>
      <w:r>
        <w:rPr>
          <w:strike w:val="0"/>
        </w:rPr>
        <w:t>Initial evidence: latest-HLW candidate 1-month yield approximately 3.1536%, 10-year yield approximately 4.4916%. Latest-LW alternatives approximately 3.7974% and 5.1354%. One-month spread coverage was 303 months; thirty-year same-date paired coverage was 312 months. These calculations show method sensitivity, not approved outputs or confidence intervals.</w:t>
      </w:r>
    </w:p>
    <w:p>
      <w:r>
        <w:rPr>
          <w:strike w:val="0"/>
        </w:rPr>
        <w:t>Validation: 37 automated tests passed, including an offline end-to-end output/hash test. Live parsing of six archived official files succeeded, including 34 HLW real-time vintages and all 30 ACM series. The first review run used the complete monthly Treasury archive and produced 33 candidate par nodes across three macro methods.</w:t>
      </w:r>
    </w:p>
    <w:p>
      <w:r>
        <w:rPr>
          <w:strike w:val="0"/>
        </w:rPr>
        <w:t>Dependency change: installed openpyxl and xlrd in my_env for XLSX/XLS reading; recorded them in the project's official optional dependency group.</w:t>
      </w:r>
    </w:p>
    <w:p>
      <w:r>
        <w:rPr>
          <w:strike w:val="0"/>
        </w:rPr>
        <w:t>Next decisions: assess policy/bill and headline/core adjustments; compare dated FOMC, market-expectations, and other neutral-rate evidence; approve or revise the anchor-selection rule; then implement and validate convergence. Discount-curve construction, expected returns, and historical forecast evaluation remain unimplemented.</w:t>
      </w:r>
    </w:p>
    <w:p>
      <w:pPr>
        <w:pStyle w:val="Heading1"/>
      </w:pPr>
      <w:r>
        <w:rPr>
          <w:strike w:val="0"/>
        </w:rPr>
        <w:t>October 6 2026 LaTeX Equations And Word Review Copies</w:t>
      </w:r>
    </w:p>
    <w:p>
      <w:r>
        <w:rPr>
          <w:strike w:val="0"/>
        </w:rPr>
        <w:t>Status: implemented for documentation and review; no change to model approval status.</w:t>
      </w:r>
    </w:p>
    <w:p>
      <w:r>
        <w:rPr>
          <w:strike w:val="0"/>
        </w:rPr>
        <w:t>Methodology version 0.3 replaces plain-text formulas with LaTeX, defines symbols and units, and documents the equal-weight mean-spread estimator. Anchor and convergence calculations are unchanged.</w:t>
      </w:r>
    </w:p>
    <w:p>
      <w:r>
        <w:rPr>
          <w:strike w:val="0"/>
        </w:rPr>
        <w:t>The converter supports inline and display LaTeX through MathML to editable Word equations. Code blocks stay literal. Math dependencies are recorded in the documents extra. Markdown remains authoritative; dated run summaries and manifests are unchanged.</w:t>
      </w:r>
    </w:p>
    <w:p>
      <w:r>
        <w:rPr>
          <w:strike w:val="0"/>
        </w:rPr>
        <w:t>Validation: all 47 tests passed, including four new equation tests for fractions, powers, summations, inline/table math, escaped currency, code, and DOCX serialization. Both Word documents were rendered and visually reviewed.</w:t>
      </w:r>
    </w:p>
    <w:p>
      <w:pPr>
        <w:pStyle w:val="Heading1"/>
      </w:pPr>
      <w:r>
        <w:rPr>
          <w:strike w:val="0"/>
        </w:rPr>
        <w:t>Future Entry Template</w:t>
      </w:r>
    </w:p>
    <w:p>
      <w:pPr>
        <w:pStyle w:val="Heading2"/>
      </w:pPr>
      <w:r>
        <w:rPr>
          <w:strike w:val="0"/>
        </w:rPr>
        <w:t>Date And Change Title</w:t>
      </w:r>
    </w:p>
    <w:p>
      <w:r>
        <w:rPr>
          <w:strike w:val="0"/>
        </w:rPr>
        <w:t>Status: proposed, implemented for research, approved, or superseded.</w:t>
      </w:r>
    </w:p>
    <w:p>
      <w:r>
        <w:rPr>
          <w:strike w:val="0"/>
        </w:rPr>
        <w:t>Reason and evidence:</w:t>
      </w:r>
    </w:p>
    <w:p>
      <w:r>
        <w:rPr>
          <w:strike w:val="0"/>
        </w:rPr>
        <w:t>Definitions or calculations changed:</w:t>
      </w:r>
    </w:p>
    <w:p>
      <w:r>
        <w:rPr>
          <w:strike w:val="0"/>
        </w:rPr>
        <w:t>Affected source archives and numerical run summaries:</w:t>
      </w:r>
    </w:p>
    <w:p>
      <w:r>
        <w:rPr>
          <w:strike w:val="0"/>
        </w:rPr>
        <w:t>Tests and validation performed:</w:t>
      </w:r>
    </w:p>
    <w:p>
      <w:r>
        <w:rPr>
          <w:strike w:val="0"/>
        </w:rPr>
        <w:t>Unresolved assumptions and reviewer/approval record: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000009"/>
    <w:multiLevelType w:val="singleLevel"/>
    <w:lvl w:ilvl="0">
      <w:start w:val="1"/>
      <w:numFmt w:val="bullet"/>
      <w:lvlText w:val="•"/>
      <w:lvlJc w:val="left"/>
    </w:lvl>
  </w:abstractNum>
  <w:abstractNum w:abstractNumId="10">
    <w:nsid w:val="A000000A"/>
    <w:multiLevelType w:val="singleLevel"/>
    <w:lvl w:ilvl="0">
      <w:start w:val="1"/>
      <w:numFmt w:val="bullet"/>
      <w:lvlText w:val="•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64" w:lineRule="auto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 w:line="264" w:lineRule="auto"/>
      <w:outlineLvl w:val="4"/>
    </w:pPr>
    <w:rPr>
      <w:rFonts w:asciiTheme="majorHAnsi" w:eastAsiaTheme="majorEastAsia" w:hAnsiTheme="majorHAnsi" w:cstheme="majorBidi" w:ascii="Arial" w:hAnsi="Arial"/>
      <w:b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 w:line="264" w:lineRule="auto"/>
      <w:outlineLvl w:val="5"/>
    </w:pPr>
    <w:rPr>
      <w:rFonts w:asciiTheme="majorHAnsi" w:eastAsiaTheme="majorEastAsia" w:hAnsiTheme="majorHAnsi" w:cstheme="majorBidi" w:ascii="Arial" w:hAnsi="Arial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64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METHODOLOGY_LOG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