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trike w:val="0"/>
        </w:rPr>
        <w:t>CMA Input Processing And Anchor Review</w:t>
      </w:r>
    </w:p>
    <w:p>
      <w:r>
        <w:rPr>
          <w:strike w:val="0"/>
        </w:rPr>
        <w:t>Run created (UTC): 2026-10-07T03:20:35.330665+00:00</w:t>
      </w:r>
    </w:p>
    <w:p>
      <w:r>
        <w:rPr>
          <w:strike w:val="0"/>
        </w:rPr>
        <w:t>Status: research draft. No anchors have been approved.</w:t>
      </w:r>
    </w:p>
    <w:p>
      <w:r>
        <w:rPr>
          <w:strike w:val="0"/>
        </w:rPr>
        <w:t>Calibration window: 1996-10-01 to 2026-09-30. Macro observation cutoff: 2026-09-30.</w:t>
      </w:r>
    </w:p>
    <w:p>
      <w:r>
        <w:rPr>
          <w:strike w:val="0"/>
        </w:rPr>
        <w:t>This is a current-vintage research snapshot, not a point-in-time forecast or backtest.</w:t>
      </w:r>
    </w:p>
    <w:p>
      <w:pPr>
        <w:pStyle w:val="Heading1"/>
      </w:pPr>
      <w:r>
        <w:rPr>
          <w:strike w:val="0"/>
        </w:rPr>
        <w:t>Source Processing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0"/>
        <w:gridCol w:w="2468"/>
        <w:gridCol w:w="1944"/>
        <w:gridCol w:w="1620"/>
        <w:gridCol w:w="1620"/>
        <w:gridCol w:w="2042"/>
        <w:gridCol w:w="2036"/>
      </w:tblGrid>
      <w:tr>
        <w:trPr>
          <w:cantSplit/>
          <w:tblHeader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source key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source file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observations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series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vintages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first period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last period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acm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acm.xls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23520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1961-06-30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hlw_current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hlw_current.xlsx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262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1961-03-31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2026-06-30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hlw_realtime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hlw_realtime.xlsx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8176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34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1961-03-31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2026-06-30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lw_current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lw_current.xlsx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262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1961-03-31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2026-06-30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spf_inflation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spf_inflation.xlsx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140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1991-12-31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spf_pce10</w:t>
            </w:r>
          </w:p>
        </w:tc>
        <w:tc>
          <w:tcPr>
            <w:tcW w:type="dxa" w:w="24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spf_pce10.xlsx</w:t>
            </w:r>
          </w:p>
        </w:tc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79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16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  <w:tc>
          <w:tcPr>
            <w:tcW w:type="dxa" w:w="20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2007-03-31</w:t>
            </w:r>
          </w:p>
        </w:tc>
        <w:tc>
          <w:tcPr>
            <w:tcW w:type="dxa" w:w="20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</w:tr>
    </w:tbl>
    <w:p>
      <w:pPr>
        <w:spacing w:after="40"/>
      </w:pPr>
    </w:p>
    <w:p>
      <w:r>
        <w:rPr>
          <w:strike w:val="0"/>
        </w:rPr>
        <w:t>Rates retain original percentage-point values and are converted to decimals by dividing by 100.</w:t>
      </w:r>
    </w:p>
    <w:p>
      <w:r>
        <w:rPr>
          <w:strike w:val="0"/>
        </w:rPr>
        <w:t>ACM uses the publisher's monthly end-of-month worksheet, not averages of daily premiums. HLW/LW and SPF remain quarterly. Quarter-end dates label economic/survey periods, not publication dates.</w:t>
      </w:r>
    </w:p>
    <w:p>
      <w:r>
        <w:rPr>
          <w:strike w:val="0"/>
        </w:rPr>
        <w:t>All raw files passed SHA-256 checks against their download manifest. Publication and vintage dates remain unmapped, including the HLW real-time sheets. No gaps are filled.</w:t>
      </w:r>
    </w:p>
    <w:p>
      <w:pPr>
        <w:pStyle w:val="Heading1"/>
      </w:pPr>
      <w:r>
        <w:rPr>
          <w:strike w:val="0"/>
        </w:rPr>
        <w:t>Candidate Construction</w:t>
      </w:r>
    </w:p>
    <w:p>
      <w:r>
        <w:rPr>
          <w:strike w:val="0"/>
        </w:rPr>
        <w:t>Neutral nominal policy = real neutral rate + SPF median 10-year headline PCE forecast + core-to-headline adjustment. Reference 3-month yield = neutral nominal policy + policy-to-bill basis. Each par anchor = reference 3-month yield + its historical par spread to the 3-month node.</w:t>
      </w:r>
    </w:p>
    <w:p>
      <w:r>
        <w:rPr>
          <w:strike w:val="0"/>
        </w:rPr>
        <w:t>This additive nominal-rate approximation is a modeling convention, not an exact Fisher calculation.</w:t>
      </w:r>
    </w:p>
    <w:p>
      <w:r>
        <w:rPr>
          <w:strike w:val="0"/>
        </w:rPr>
        <w:t>Primary research candidate: hlw_latest. Primary slope window: 30 years; statistic: mean.</w:t>
      </w:r>
    </w:p>
    <w:p>
      <w:r>
        <w:rPr>
          <w:strike w:val="0"/>
        </w:rPr>
        <w:t>Policy-to-3m adjustment: 0.0 bps. Core-to-headline PCE adjustment: 0.0 bps. Zero settings are assumptions requiring review, not empirically estimated adjustments.</w:t>
      </w:r>
    </w:p>
    <w:p>
      <w:pPr>
        <w:pStyle w:val="Heading2"/>
      </w:pPr>
      <w:r>
        <w:rPr>
          <w:strike w:val="0"/>
        </w:rPr>
        <w:t>Macro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0"/>
        <w:gridCol w:w="2614"/>
        <w:gridCol w:w="2458"/>
        <w:gridCol w:w="3255"/>
        <w:gridCol w:w="2302"/>
      </w:tblGrid>
      <w:tr>
        <w:trPr>
          <w:cantSplit/>
          <w:tblHeader/>
        </w:trPr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candidate</w:t>
            </w:r>
          </w:p>
        </w:tc>
        <w:tc>
          <w:tcPr>
            <w:tcW w:type="dxa" w:w="2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key</w:t>
            </w:r>
          </w:p>
        </w:tc>
        <w:tc>
          <w:tcPr>
            <w:tcW w:type="dxa" w:w="2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rate decimal</w:t>
            </w:r>
          </w:p>
        </w:tc>
        <w:tc>
          <w:tcPr>
            <w:tcW w:type="dxa" w:w="32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observation period</w:t>
            </w:r>
          </w:p>
        </w:tc>
        <w:tc>
          <w:tcPr>
            <w:tcW w:type="dxa" w:w="2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quarters used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2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hlw_us_rstar</w:t>
            </w:r>
          </w:p>
        </w:tc>
        <w:tc>
          <w:tcPr>
            <w:tcW w:type="dxa" w:w="2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0.0101</w:t>
            </w:r>
          </w:p>
        </w:tc>
        <w:tc>
          <w:tcPr>
            <w:tcW w:type="dxa" w:w="32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2026Q2</w:t>
            </w:r>
          </w:p>
        </w:tc>
        <w:tc>
          <w:tcPr>
            <w:tcW w:type="dxa" w:w="2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2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hlw_us_rstar</w:t>
            </w:r>
          </w:p>
        </w:tc>
        <w:tc>
          <w:tcPr>
            <w:tcW w:type="dxa" w:w="2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0.0104</w:t>
            </w:r>
          </w:p>
        </w:tc>
        <w:tc>
          <w:tcPr>
            <w:tcW w:type="dxa" w:w="32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2021Q3 to 2026Q2</w:t>
            </w:r>
          </w:p>
        </w:tc>
        <w:tc>
          <w:tcPr>
            <w:tcW w:type="dxa" w:w="2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2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lw_us_rstar</w:t>
            </w:r>
          </w:p>
        </w:tc>
        <w:tc>
          <w:tcPr>
            <w:tcW w:type="dxa" w:w="2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0.0165</w:t>
            </w:r>
          </w:p>
        </w:tc>
        <w:tc>
          <w:tcPr>
            <w:tcW w:type="dxa" w:w="32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2026Q2</w:t>
            </w:r>
          </w:p>
        </w:tc>
        <w:tc>
          <w:tcPr>
            <w:tcW w:type="dxa" w:w="2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inflation_latest</w:t>
            </w:r>
          </w:p>
        </w:tc>
        <w:tc>
          <w:tcPr>
            <w:tcW w:type="dxa" w:w="26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spf_pce10_median</w:t>
            </w:r>
          </w:p>
        </w:tc>
        <w:tc>
          <w:tcPr>
            <w:tcW w:type="dxa" w:w="2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0.0220</w:t>
            </w:r>
          </w:p>
        </w:tc>
        <w:tc>
          <w:tcPr>
            <w:tcW w:type="dxa" w:w="32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2026Q3</w:t>
            </w:r>
          </w:p>
        </w:tc>
        <w:tc>
          <w:tcPr>
            <w:tcW w:type="dxa" w:w="23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trike w:val="0"/>
        </w:rPr>
        <w:t>Selected Par Nodes</w:t>
      </w:r>
    </w:p>
    <w:p>
      <w:r>
        <w:rPr>
          <w:strike w:val="0"/>
        </w:rPr>
        <w:t>Yields below are percentages, not decimal rates.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3251"/>
        <w:gridCol w:w="3240"/>
        <w:gridCol w:w="3050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candidate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key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anchor percent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paired months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BC_1MONTH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3.1536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BC_2YEAR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3.5349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BC_5YEAR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3.9963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4.4916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BC_30YEAR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4.8419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312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BC_1MONTH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3.1881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BC_2YEAR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3.5694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BC_5YEAR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4.0308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4.5261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hlw_median20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BC_30YEAR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4.8765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312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BC_1MONTH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3.7974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BC_2YEAR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4.1787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BC_5YEAR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4.6401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5.1354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lw_latest</w:t>
            </w:r>
          </w:p>
        </w:tc>
        <w:tc>
          <w:tcPr>
            <w:tcW w:type="dxa" w:w="3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BC_30YEAR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5.4857</w:t>
            </w:r>
          </w:p>
        </w:tc>
        <w:tc>
          <w:tcPr>
            <w:tcW w:type="dxa" w:w="30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trike w:val="0"/>
        </w:rPr>
        <w:t>Historical Spread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88"/>
        <w:gridCol w:w="1740"/>
        <w:gridCol w:w="1820"/>
        <w:gridCol w:w="2222"/>
        <w:gridCol w:w="2214"/>
        <w:gridCol w:w="1941"/>
        <w:gridCol w:w="1957"/>
      </w:tblGrid>
      <w:tr>
        <w:trPr>
          <w:cantSplit/>
          <w:tblHeader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key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paired months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expected months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first date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last date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mean bps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median bps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BC_10YEAR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1996-10-31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128.2972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126.0000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BC_1MONTH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303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2001-07-31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-5.5017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-2.0000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BC_2YEAR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1996-10-31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32.6278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39.0000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BC_30YEAR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312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1996-10-31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163.3301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149.0000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trike w:val="0"/>
                <w:sz w:val="18"/>
              </w:rPr>
              <w:t>BC_5YEAR</w:t>
            </w:r>
          </w:p>
        </w:tc>
        <w:tc>
          <w:tcPr>
            <w:tcW w:type="dxa" w:w="17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18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1996-10-31</w:t>
            </w:r>
          </w:p>
        </w:tc>
        <w:tc>
          <w:tcPr>
            <w:tcW w:type="dxa" w:w="22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78.7611</w:t>
            </w:r>
          </w:p>
        </w:tc>
        <w:tc>
          <w:tcPr>
            <w:tcW w:type="dxa" w:w="19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85.0000</w:t>
            </w:r>
          </w:p>
        </w:tc>
      </w:tr>
    </w:tbl>
    <w:p>
      <w:pPr>
        <w:spacing w:after="40"/>
      </w:pPr>
    </w:p>
    <w:p>
      <w:r>
        <w:rPr>
          <w:strike w:val="0"/>
        </w:rPr>
        <w:t>Spreads use equal weights across paired months with matching actual observation dates. No missing 1-month or 30-year rates are synthesized. The 30-year calibration window does not guarantee 360 observations for every node. Different node histories can affect curve shape.</w:t>
      </w:r>
    </w:p>
    <w:p>
      <w:pPr>
        <w:pStyle w:val="Heading2"/>
      </w:pPr>
      <w:r>
        <w:rPr>
          <w:strike w:val="0"/>
        </w:rPr>
        <w:t>ACM Cross-Check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9"/>
        <w:gridCol w:w="1739"/>
        <w:gridCol w:w="2220"/>
        <w:gridCol w:w="2208"/>
        <w:gridCol w:w="1939"/>
        <w:gridCol w:w="1963"/>
        <w:gridCol w:w="1871"/>
      </w:tblGrid>
      <w:tr>
        <w:trPr>
          <w:cantSplit/>
          <w:tblHeader/>
        </w:trPr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window years</w:t>
            </w:r>
          </w:p>
        </w:tc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months</w:t>
            </w:r>
          </w:p>
        </w:tc>
        <w:tc>
          <w:tcPr>
            <w:tcW w:type="dxa" w:w="22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first date</w:t>
            </w:r>
          </w:p>
        </w:tc>
        <w:tc>
          <w:tcPr>
            <w:tcW w:type="dxa" w:w="22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last date</w:t>
            </w:r>
          </w:p>
        </w:tc>
        <w:tc>
          <w:tcPr>
            <w:tcW w:type="dxa" w:w="19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mean bps</w:t>
            </w:r>
          </w:p>
        </w:tc>
        <w:tc>
          <w:tcPr>
            <w:tcW w:type="dxa" w:w="1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median bps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keepNext/>
              <w:spacing w:after="0" w:line="259" w:lineRule="auto"/>
            </w:pPr>
            <w:r>
              <w:rPr>
                <w:b/>
                <w:strike w:val="0"/>
                <w:sz w:val="18"/>
              </w:rPr>
              <w:t>latest bps</w:t>
            </w:r>
          </w:p>
        </w:tc>
      </w:tr>
      <w:tr>
        <w:trPr>
          <w:cantSplit/>
        </w:trPr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10</w:t>
            </w:r>
          </w:p>
        </w:tc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120</w:t>
            </w:r>
          </w:p>
        </w:tc>
        <w:tc>
          <w:tcPr>
            <w:tcW w:type="dxa" w:w="22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2016-10-31</w:t>
            </w:r>
          </w:p>
        </w:tc>
        <w:tc>
          <w:tcPr>
            <w:tcW w:type="dxa" w:w="22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-28.2199</w:t>
            </w:r>
          </w:p>
        </w:tc>
        <w:tc>
          <w:tcPr>
            <w:tcW w:type="dxa" w:w="1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-35.0653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88.5008</w:t>
            </w:r>
          </w:p>
        </w:tc>
      </w:tr>
      <w:tr>
        <w:trPr>
          <w:cantSplit/>
        </w:trPr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</w:t>
            </w:r>
          </w:p>
        </w:tc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240</w:t>
            </w:r>
          </w:p>
        </w:tc>
        <w:tc>
          <w:tcPr>
            <w:tcW w:type="dxa" w:w="22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2006-10-31</w:t>
            </w:r>
          </w:p>
        </w:tc>
        <w:tc>
          <w:tcPr>
            <w:tcW w:type="dxa" w:w="22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38.9113</w:t>
            </w:r>
          </w:p>
        </w:tc>
        <w:tc>
          <w:tcPr>
            <w:tcW w:type="dxa" w:w="1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21.5115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88.5008</w:t>
            </w:r>
          </w:p>
        </w:tc>
      </w:tr>
      <w:tr>
        <w:trPr>
          <w:cantSplit/>
        </w:trPr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30</w:t>
            </w:r>
          </w:p>
        </w:tc>
        <w:tc>
          <w:tcPr>
            <w:tcW w:type="dxa" w:w="17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360</w:t>
            </w:r>
          </w:p>
        </w:tc>
        <w:tc>
          <w:tcPr>
            <w:tcW w:type="dxa" w:w="22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1996-10-31</w:t>
            </w:r>
          </w:p>
        </w:tc>
        <w:tc>
          <w:tcPr>
            <w:tcW w:type="dxa" w:w="22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2026-09-30</w:t>
            </w:r>
          </w:p>
        </w:tc>
        <w:tc>
          <w:tcPr>
            <w:tcW w:type="dxa" w:w="19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72.5792</w:t>
            </w:r>
          </w:p>
        </w:tc>
        <w:tc>
          <w:tcPr>
            <w:tcW w:type="dxa" w:w="1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66.6506</w:t>
            </w:r>
          </w:p>
        </w:tc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trike w:val="0"/>
                <w:sz w:val="18"/>
              </w:rPr>
              <w:t>88.5008</w:t>
            </w:r>
          </w:p>
        </w:tc>
      </w:tr>
    </w:tbl>
    <w:p>
      <w:pPr>
        <w:spacing w:after="40"/>
      </w:pPr>
    </w:p>
    <w:p>
      <w:r>
        <w:rPr>
          <w:strike w:val="0"/>
        </w:rPr>
        <w:t>ACM zero-coupon term premiums are diagnostics only. They are not added to historical par spreads and are not extrapolated from 10 years to 30 years.</w:t>
      </w:r>
    </w:p>
    <w:p>
      <w:pPr>
        <w:pStyle w:val="Heading1"/>
      </w:pPr>
      <w:r>
        <w:rPr>
          <w:strike w:val="0"/>
        </w:rPr>
        <w:t>Review Before Adoption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Confirm the real-neutral source and smoothing choice; compare LW and HLW instead of treating their difference as a confidence interval.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Review the headline/core PCE alignment and policy-to-3-month basis, including average-cycle effects.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Inspect 10-, 20-, and 30-year spread windows, mean versus median, and unequal node coverage.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Add dated FOMC/market-expectations and other long-run rate cross-checks before selecting approved anchors.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Map release dates and source vintages before any historical forecast evaluation.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Choose convergence speeds separately; this stage does not bootstrap discount curves or calculate returns.</w:t>
      </w:r>
    </w:p>
    <w:p>
      <w:pPr>
        <w:pStyle w:val="Heading1"/>
      </w:pPr>
      <w:r>
        <w:rPr>
          <w:strike w:val="0"/>
        </w:rPr>
        <w:t>Reproduction</w:t>
      </w:r>
    </w:p>
    <w:p>
      <w:r>
        <w:rPr>
          <w:strike w:val="0"/>
        </w:rPr>
        <w:t xml:space="preserve">Official archive: </w:t>
      </w:r>
      <w:r>
        <w:rPr>
          <w:rFonts w:ascii="Consolas" w:hAnsi="Consolas"/>
          <w:strike w:val="0"/>
          <w:sz w:val="20"/>
        </w:rPr>
        <w:t>C:\Users\Jeff\Python\CMAs\data\20261007T031202_official_f559f005</w:t>
      </w:r>
    </w:p>
    <w:p>
      <w:r>
        <w:rPr>
          <w:strike w:val="0"/>
        </w:rPr>
        <w:t xml:space="preserve">Treasury bundle: </w:t>
      </w:r>
      <w:r>
        <w:rPr>
          <w:rFonts w:ascii="Consolas" w:hAnsi="Consolas"/>
          <w:strike w:val="0"/>
          <w:sz w:val="20"/>
        </w:rPr>
        <w:t>C:\Users\Jeff\Python\CMAs\data\20261007T030129_567ade64</w:t>
      </w:r>
    </w:p>
    <w:p>
      <w:r>
        <w:rPr>
          <w:strike w:val="0"/>
        </w:rPr>
        <w:t>The run manifest captures source locations, input hashes, settings, and processing-code hashes. Preserve this entire folder alongside the raw archives. The version-controlled methodology and development log explain the decisions; this report records one numerical snapshot.</w:t>
      </w:r>
    </w:p>
    <w:sectPr w:rsidR="00FC693F" w:rsidRPr="0006063C" w:rsidSect="00034616">
      <w:footerReference w:type="default" r:id="rId9"/>
      <w:pgSz w:w="15840" w:h="12240" w:orient="landscape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lvl w:ilvl="0">
      <w:start w:val="1"/>
      <w:numFmt w:val="bullet"/>
      <w:lvlText w:val="•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4"/>
    </w:pPr>
    <w:rPr>
      <w:rFonts w:asciiTheme="majorHAnsi" w:eastAsiaTheme="majorEastAsia" w:hAnsiTheme="majorHAnsi" w:cstheme="majorBidi" w:ascii="Arial" w:hAnsi="Arial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64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run_summary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