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仿宋" w:hAnsi="仿宋" w:eastAsia="仿宋"/>
          <w:sz w:val="21"/>
        </w:rPr>
      </w:r>
    </w:p>
    <w:p>
      <w:pPr>
        <w:spacing w:after="120"/>
      </w:pPr>
      <w:r>
        <w:rPr>
          <w:rFonts w:ascii="仿宋" w:hAnsi="仿宋" w:eastAsia="仿宋"/>
          <w:sz w:val="21"/>
        </w:rPr>
      </w:r>
    </w:p>
    <w:p>
      <w:pPr>
        <w:spacing w:after="120"/>
      </w:pPr>
      <w:r>
        <w:rPr>
          <w:rFonts w:ascii="仿宋" w:hAnsi="仿宋" w:eastAsia="仿宋"/>
          <w:sz w:val="21"/>
        </w:rPr>
      </w:r>
    </w:p>
    <w:p>
      <w:pPr>
        <w:spacing w:after="120"/>
      </w:pPr>
      <w:r>
        <w:rPr>
          <w:rFonts w:ascii="仿宋" w:hAnsi="仿宋" w:eastAsia="仿宋"/>
          <w:sz w:val="21"/>
        </w:rPr>
      </w:r>
    </w:p>
    <w:p>
      <w:pPr>
        <w:spacing w:after="120"/>
      </w:pPr>
      <w:r>
        <w:rPr>
          <w:rFonts w:ascii="仿宋" w:hAnsi="仿宋" w:eastAsia="仿宋"/>
          <w:sz w:val="21"/>
        </w:rPr>
      </w:r>
    </w:p>
    <w:p>
      <w:pPr>
        <w:jc w:val="center"/>
      </w:pPr>
      <w:r>
        <w:rPr>
          <w:rFonts w:ascii="仿宋" w:hAnsi="仿宋" w:eastAsia="仿宋"/>
          <w:b/>
          <w:color w:val="2D3142"/>
          <w:sz w:val="56"/>
        </w:rPr>
        <w:t>IP 代理管理平台</w:t>
      </w:r>
    </w:p>
    <w:p>
      <w:pPr>
        <w:jc w:val="center"/>
      </w:pPr>
      <w:r>
        <w:rPr>
          <w:rFonts w:ascii="仿宋" w:hAnsi="仿宋" w:eastAsia="仿宋"/>
          <w:b/>
          <w:color w:val="A94626"/>
          <w:sz w:val="48"/>
        </w:rPr>
        <w:t>需求说明书</w:t>
      </w:r>
    </w:p>
    <w:p>
      <w:pPr>
        <w:jc w:val="center"/>
      </w:pPr>
      <w:r>
        <w:rPr>
          <w:rFonts w:ascii="仿宋" w:hAnsi="仿宋" w:eastAsia="仿宋"/>
          <w:b/>
          <w:color w:val="2D3142"/>
          <w:sz w:val="34"/>
        </w:rPr>
        <w:t>概要版｜客户与内部沟通</w:t>
      </w:r>
    </w:p>
    <w:p>
      <w:pPr>
        <w:jc w:val="center"/>
      </w:pPr>
      <w:r>
        <w:rPr>
          <w:rFonts w:ascii="仿宋" w:hAnsi="仿宋" w:eastAsia="仿宋"/>
          <w:color w:val="586374"/>
          <w:sz w:val="22"/>
        </w:rPr>
        <w:t>完整业务概要 · 以统一现行规则描述产品及交付</w:t>
      </w:r>
    </w:p>
    <w:p>
      <w:pPr>
        <w:spacing w:after="120"/>
      </w:pPr>
      <w:r>
        <w:rPr>
          <w:rFonts w:ascii="仿宋" w:hAnsi="仿宋" w:eastAsia="仿宋"/>
          <w:sz w:val="21"/>
        </w:rPr>
      </w:r>
    </w:p>
    <w:p>
      <w:pPr>
        <w:spacing w:after="120"/>
      </w:pPr>
      <w:r>
        <w:rPr>
          <w:rFonts w:ascii="仿宋" w:hAnsi="仿宋" w:eastAsia="仿宋"/>
          <w:sz w:val="21"/>
        </w:rPr>
      </w:r>
    </w:p>
    <w:p>
      <w:pPr>
        <w:spacing w:after="120"/>
      </w:pPr>
      <w:r>
        <w:rPr>
          <w:rFonts w:ascii="仿宋" w:hAnsi="仿宋" w:eastAsia="仿宋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69"/>
        <w:gridCol w:w="4669"/>
      </w:tblGrid>
      <w:tr>
        <w:trPr>
          <w:cantSplit/>
          <w:tblHeader/>
        </w:trPr>
        <w:tc>
          <w:tcPr>
            <w:tcW w:type="dxa" w:w="4669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9"/>
              </w:rPr>
              <w:t>文档属性</w:t>
            </w:r>
          </w:p>
        </w:tc>
        <w:tc>
          <w:tcPr>
            <w:tcW w:type="dxa" w:w="4669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9"/>
              </w:rPr>
              <w:t>版本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9"/>
              </w:rPr>
              <w:t>V1.2-R3  ·  2026年10月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9"/>
              </w:rPr>
              <w:t>文档定位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9"/>
              </w:rPr>
              <w:t>完整业务概要 · 以统一现行规则描述产品及交付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9"/>
              </w:rPr>
              <w:t>业务范围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9"/>
              </w:rPr>
              <w:t>客户、资源、产品、订单、服务交付、监控、日志、统计与系统管理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9"/>
              </w:rPr>
              <w:t>文字字体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9"/>
              </w:rPr>
              <w:t>全文及嵌入图表均使用仿宋字体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9"/>
              </w:rPr>
              <w:t>交付界限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9"/>
              </w:rPr>
              <w:t>业务需求定义；外部API真实能力与网络交付须独立联调验收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仿宋" w:hAnsi="仿宋" w:eastAsia="仿宋"/>
          <w:b/>
          <w:sz w:val="32"/>
        </w:rPr>
        <w:t>1 项目定位与建设目标</w:t>
      </w:r>
    </w:p>
    <w:p>
      <w:pPr>
        <w:spacing w:after="120"/>
      </w:pPr>
      <w:r>
        <w:rPr>
          <w:rFonts w:ascii="仿宋" w:hAnsi="仿宋" w:eastAsia="仿宋"/>
          <w:sz w:val="21"/>
        </w:rPr>
        <w:t>本项目建设覆盖五类代理产品的综合运营管理平台。系统统一维护客户、产品套餐、订单交易、资源来源与采购、服务实例、使用记录、到期宽限、运营统计、权限和审计，把不同代理产品的业务动作组织为完整、可核验、可持续运营的服务。</w:t>
      </w:r>
    </w:p>
    <w:p>
      <w:pPr>
        <w:spacing w:after="120"/>
      </w:pPr>
      <w:r>
        <w:rPr>
          <w:rFonts w:ascii="仿宋" w:hAnsi="仿宋" w:eastAsia="仿宋"/>
          <w:sz w:val="21"/>
        </w:rPr>
        <w:t>平台不直接承担Proxy/VPN/隧道的实际网络转发，也不代替资源组执行底层拨号和设备控制。系统统一编排与登记，真实产品与资源能力由协作团队实现并返回可验证的结果。</w:t>
      </w:r>
    </w:p>
    <w:p>
      <w:pPr>
        <w:keepNext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57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system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仿宋" w:hAnsi="仿宋" w:eastAsia="仿宋"/>
          <w:sz w:val="18"/>
        </w:rPr>
        <w:t>图1 业务平台、资源API与五款产品的协作架构</w:t>
      </w:r>
    </w:p>
    <w:p>
      <w:pPr>
        <w:pStyle w:val="Heading1"/>
        <w:keepNext/>
      </w:pPr>
      <w:r>
        <w:rPr>
          <w:rFonts w:ascii="仿宋" w:hAnsi="仿宋" w:eastAsia="仿宋"/>
          <w:b/>
          <w:sz w:val="32"/>
        </w:rPr>
        <w:t>2 平台服务范围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业务模块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主要对象和功能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关键业务价值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经营工作台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客户、有效服务、到期/宽限、资源、采购风险、待办与告警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快速发现运营问题、直接追溯对象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客户与账号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个人/企业客户、认证、登录账号、凭证、白名单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识别购买者及其服务归属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资源运营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CentOS、ROS、家宽/线路、来源型资源池、固定出口、域名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使资源来源、容量与业务绑定清晰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外部代理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供应商、人工采购套餐、反向代理与交付实例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将外部采购事实转为受控的客户服务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商品交易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五款产品、套餐、订单、订单项、付款核实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按统一业务流程成交与交付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交付生命周期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开通、凭证、资源绑定、续费、暂停/恢复、宽限、终止/释放、切换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服务从销售到回收完整可控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运行管理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基础设施监控、11类日志、客户长效专项告警、7类统计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真实数据闭环、持续服务质量保障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基础与安全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后台用户、角色权限、参数、操作和登录审计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授权明确、敏感数据可保护与追踪</w:t>
            </w:r>
          </w:p>
        </w:tc>
      </w:tr>
    </w:tbl>
    <w:p>
      <w:pPr>
        <w:spacing w:after="0"/>
      </w:pPr>
    </w:p>
    <w:p>
      <w:pPr>
        <w:keepNext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57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6-product-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仿宋" w:hAnsi="仿宋" w:eastAsia="仿宋"/>
          <w:sz w:val="18"/>
        </w:rPr>
        <w:t>图2 五类产品统一交易与服务管理体系</w:t>
      </w:r>
    </w:p>
    <w:p>
      <w:pPr>
        <w:pStyle w:val="Heading1"/>
        <w:keepNext/>
      </w:pPr>
      <w:r>
        <w:rPr>
          <w:rFonts w:ascii="仿宋" w:hAnsi="仿宋" w:eastAsia="仿宋"/>
          <w:b/>
          <w:sz w:val="32"/>
        </w:rPr>
        <w:t>3 资源来源与产品能力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3.1 自有线路与来源池</w:t>
      </w:r>
    </w:p>
    <w:p>
      <w:pPr>
        <w:spacing w:after="120"/>
      </w:pPr>
      <w:r>
        <w:rPr>
          <w:rFonts w:ascii="仿宋" w:hAnsi="仿宋" w:eastAsia="仿宋"/>
          <w:sz w:val="21"/>
        </w:rPr>
        <w:t>自有线路以CentOS、ROS、家宽/线路三层组织。当前CentOS和ROS按1:1部署，ROS负责拨号、CentOS负责其他管理动作及B/C段统计。家宽/线路既是节点也是ROS拨号业务对象；它的当前公网IPv4会变化，不能当作稳定资源编号。</w:t>
      </w:r>
    </w:p>
    <w:p>
      <w:pPr>
        <w:spacing w:after="120"/>
      </w:pPr>
      <w:r>
        <w:rPr>
          <w:rFonts w:ascii="仿宋" w:hAnsi="仿宋" w:eastAsia="仿宋"/>
          <w:sz w:val="21"/>
        </w:rPr>
        <w:t>来源资源池按省市和运营商等来源条件对线路进行归组；线路在池内区分“共享”和“长效”，同一线路可被多个来源池引用。独享、VPN和隧道不是池内线路类型，不额外建立对应类型的资源池。</w:t>
      </w:r>
    </w:p>
    <w:p>
      <w:pPr>
        <w:keepNext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57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3-resource-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仿宋" w:hAnsi="仿宋" w:eastAsia="仿宋"/>
          <w:sz w:val="18"/>
        </w:rPr>
        <w:t>图3 自有资源组成、线路与来源型资源池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3.2 外部供应商与反向代理</w:t>
      </w:r>
    </w:p>
    <w:p>
      <w:pPr>
        <w:spacing w:after="120"/>
      </w:pPr>
      <w:r>
        <w:rPr>
          <w:rFonts w:ascii="仿宋" w:hAnsi="仿宋" w:eastAsia="仿宋"/>
          <w:sz w:val="21"/>
        </w:rPr>
        <w:t>外部资源通过“供应商—人工采购套餐—反向代理—客户服务”交付。平台记录采购期限、授权客户与平台代理入口，并通过实际代理配置和连通验证确定交付结果。上游采购本身不等于客户可使用服务，不默认纳入自有来源池。</w:t>
      </w:r>
    </w:p>
    <w:p>
      <w:pPr>
        <w:keepNext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57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2-external-ch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仿宋" w:hAnsi="仿宋" w:eastAsia="仿宋"/>
          <w:sz w:val="18"/>
        </w:rPr>
        <w:t>图4 外部采购、反向代理及客户服务的业务关系</w:t>
      </w:r>
    </w:p>
    <w:p>
      <w:pPr>
        <w:pStyle w:val="Heading1"/>
        <w:keepNext/>
      </w:pPr>
      <w:r>
        <w:rPr>
          <w:rFonts w:ascii="仿宋" w:hAnsi="仿宋" w:eastAsia="仿宋"/>
          <w:b/>
          <w:sz w:val="32"/>
        </w:rPr>
        <w:t>4 五类产品的客户承诺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4"/>
        <w:gridCol w:w="2334"/>
        <w:gridCol w:w="2334"/>
        <w:gridCol w:w="2334"/>
      </w:tblGrid>
      <w:tr>
        <w:trPr>
          <w:cantSplit/>
          <w:tblHeader/>
        </w:trPr>
        <w:tc>
          <w:tcPr>
            <w:tcW w:type="dxa" w:w="2334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2334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资源方式</w:t>
            </w:r>
          </w:p>
        </w:tc>
        <w:tc>
          <w:tcPr>
            <w:tcW w:type="dxa" w:w="2334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面向客户的权益</w:t>
            </w:r>
          </w:p>
        </w:tc>
        <w:tc>
          <w:tcPr>
            <w:tcW w:type="dxa" w:w="2334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业务约束</w:t>
            </w:r>
          </w:p>
        </w:tc>
      </w:tr>
      <w:tr>
        <w:trPr>
          <w:cantSplit/>
        </w:trPr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短效IP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共享来源池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IP提取、有效时长、频控、去重周期、地区运营商限制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提取时按内置规则选择资源；提取日志不能代表真实流量</w:t>
            </w:r>
          </w:p>
        </w:tc>
      </w:tr>
      <w:tr>
        <w:trPr>
          <w:cantSplit/>
        </w:trPr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长效IP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长效线路/固定出口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有效期、固定出口、更换次数、宽限天数、专项监控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允许在真实能力范围内多客户共享；到期停服留出口</w:t>
            </w:r>
          </w:p>
        </w:tc>
      </w:tr>
      <w:tr>
        <w:trPr>
          <w:cantSplit/>
        </w:trPr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独享IP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实际公网IPv4独享占用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去重IPv4数量、固定出口、宽限天数、受控更换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同客户不同独享服务也禁止复用；占用含暂停与待释放</w:t>
            </w:r>
          </w:p>
        </w:tc>
      </w:tr>
      <w:tr>
        <w:trPr>
          <w:cantSplit/>
        </w:trPr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VPN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产品组真实VPN资源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VPN协议、账号/证书、设备数、并发、有效期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业务平台不处理VPN流量，也不虚建VPN来源资源池</w:t>
            </w:r>
          </w:p>
        </w:tc>
      </w:tr>
      <w:tr>
        <w:trPr>
          <w:cantSplit/>
        </w:trPr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隧道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产品组真实隧道接入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平台代理入口、端口、协议、认证、并发、会话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客户入口与对外出口是不同字段；真实连接需探测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仿宋" w:hAnsi="仿宋" w:eastAsia="仿宋"/>
          <w:b/>
          <w:sz w:val="32"/>
        </w:rPr>
        <w:t>5 订单成交与服务开通</w:t>
      </w:r>
    </w:p>
    <w:p>
      <w:pPr>
        <w:spacing w:after="120"/>
      </w:pPr>
      <w:r>
        <w:rPr>
          <w:rFonts w:ascii="仿宋" w:hAnsi="仿宋" w:eastAsia="仿宋"/>
          <w:sz w:val="21"/>
        </w:rPr>
        <w:t>客户选择产品套餐形成订单，订单可包含多个订单项及多个实例。新购订单经确认、逐订单项交付配置、资源预检、操作确认和逐实例真实结果五步开通。续费、扩容和变更从已有服务发起，不能错误生成第二套新服务。</w:t>
      </w:r>
    </w:p>
    <w:p>
      <w:pPr>
        <w:spacing w:after="120"/>
      </w:pPr>
      <w:r>
        <w:rPr>
          <w:rFonts w:ascii="仿宋" w:hAnsi="仿宋" w:eastAsia="仿宋"/>
          <w:sz w:val="21"/>
        </w:rPr>
        <w:t>订单确认与付款到账是两件事。对可能产生上游费用的外部采购，先核实客户付款成功，再核验已购上游能力；如不足，运营人员自行采购或续购，待上游真实生效且有效期覆盖客户服务后，才完成平台代理交付。</w:t>
      </w:r>
    </w:p>
    <w:p>
      <w:pPr>
        <w:keepNext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57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4-payment-g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仿宋" w:hAnsi="仿宋" w:eastAsia="仿宋"/>
          <w:sz w:val="18"/>
        </w:rPr>
        <w:t>图5 付款核实与付费供应商采购的业务关口</w:t>
      </w:r>
    </w:p>
    <w:p>
      <w:pPr>
        <w:keepNext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57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2-business-lo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仿宋" w:hAnsi="仿宋" w:eastAsia="仿宋"/>
          <w:sz w:val="18"/>
        </w:rPr>
        <w:t>图6 客户购买、服务交付、使用及回收的完整流程</w:t>
      </w:r>
    </w:p>
    <w:p>
      <w:pPr>
        <w:pStyle w:val="Heading1"/>
        <w:keepNext/>
      </w:pPr>
      <w:r>
        <w:rPr>
          <w:rFonts w:ascii="仿宋" w:hAnsi="仿宋" w:eastAsia="仿宋"/>
          <w:b/>
          <w:sz w:val="32"/>
        </w:rPr>
        <w:t>6 服务有效期、独享出口与故障处理</w:t>
      </w:r>
    </w:p>
    <w:p>
      <w:pPr>
        <w:spacing w:after="120"/>
      </w:pPr>
      <w:r>
        <w:rPr>
          <w:rFonts w:ascii="仿宋" w:hAnsi="仿宋" w:eastAsia="仿宋"/>
          <w:sz w:val="21"/>
        </w:rPr>
        <w:t>长效和独享每个套餐独立设置宽限天数，不采用全系统默认值，允许设置0天但需明确提示。业务到期后首先真实停服；宽限仅保留已经承诺的固定IPv4，不允许客户继续连接。截止时间为原到期时刻+宽限天数×24小时。</w:t>
      </w:r>
    </w:p>
    <w:p>
      <w:pPr>
        <w:spacing w:after="120"/>
      </w:pPr>
      <w:r>
        <w:rPr>
          <w:rFonts w:ascii="仿宋" w:hAnsi="仿宋" w:eastAsia="仿宋"/>
          <w:sz w:val="21"/>
        </w:rPr>
        <w:t>客户在宽限内续费，新服务期从原到期时刻顺延，且必须完成真实恢复才标注可用；超过宽限则按重新开通处理，新有效期从实际交付时刻开始。人工暂停不顺延套餐期限，提前主动终止不享受宽限。实际资源关闭与释放确认之前，系统不会解除独享占用锁。</w:t>
      </w:r>
    </w:p>
    <w:p>
      <w:pPr>
        <w:spacing w:after="120"/>
      </w:pPr>
      <w:r>
        <w:rPr>
          <w:rFonts w:ascii="仿宋" w:hAnsi="仿宋" w:eastAsia="仿宋"/>
          <w:sz w:val="21"/>
        </w:rPr>
        <w:t>独享出口按真实公网IPv4全局排他：不同线路、端口、ROS或来源池都不能绕过。同一客户的不同独享服务也不得复用同一公网IPv4。长效固定出口不等于独享出口，真实产品支持情况下可以多个客户共享。</w:t>
      </w:r>
    </w:p>
    <w:p>
      <w:pPr>
        <w:keepNext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57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5-lifecyc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仿宋" w:hAnsi="仿宋" w:eastAsia="仿宋"/>
          <w:sz w:val="18"/>
        </w:rPr>
        <w:t>图7 长效和独享服务到期、停服、宽限与受控回收</w:t>
      </w:r>
    </w:p>
    <w:p>
      <w:pPr>
        <w:pStyle w:val="Heading1"/>
        <w:keepNext/>
      </w:pPr>
      <w:r>
        <w:rPr>
          <w:rFonts w:ascii="仿宋" w:hAnsi="仿宋" w:eastAsia="仿宋"/>
          <w:b/>
          <w:sz w:val="32"/>
        </w:rPr>
        <w:t>7 人工主备切换及资源安全</w:t>
      </w:r>
    </w:p>
    <w:p>
      <w:pPr>
        <w:spacing w:after="120"/>
      </w:pPr>
      <w:r>
        <w:rPr>
          <w:rFonts w:ascii="仿宋" w:hAnsi="仿宋" w:eastAsia="仿宋"/>
          <w:sz w:val="21"/>
        </w:rPr>
        <w:t>备用线路在某个客户服务内维护，只提供人工主备切换，不恢复ROS设备级主备或自动切换。运营人员选择候选后，系统预检可用性、冲突和跨系统执行能力，清楚展示原/新出口IPv4、访问入口与客户监控影响；改变固定出口或跨地域运营商时须取得客户事先同意。</w:t>
      </w:r>
    </w:p>
    <w:p>
      <w:pPr>
        <w:spacing w:after="120"/>
      </w:pPr>
      <w:r>
        <w:rPr>
          <w:rFonts w:ascii="仿宋" w:hAnsi="仿宋" w:eastAsia="仿宋"/>
          <w:sz w:val="21"/>
        </w:rPr>
        <w:t>切换未得到真实执行及探测证据时，不改变主绑定；失败或远端超时需要保留原绑定和补偿任务，防止错误释放客户正在使用的出口。</w:t>
      </w:r>
    </w:p>
    <w:p>
      <w:pPr>
        <w:keepNext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57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8-manual-swit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仿宋" w:hAnsi="仿宋" w:eastAsia="仿宋"/>
          <w:sz w:val="18"/>
        </w:rPr>
        <w:t>图8 服务级人工主备切换和失败保护</w:t>
      </w:r>
    </w:p>
    <w:p>
      <w:pPr>
        <w:pStyle w:val="Heading1"/>
        <w:keepNext/>
      </w:pPr>
      <w:r>
        <w:rPr>
          <w:rFonts w:ascii="仿宋" w:hAnsi="仿宋" w:eastAsia="仿宋"/>
          <w:b/>
          <w:sz w:val="32"/>
        </w:rPr>
        <w:t>8 服务运行、监控与数据分析</w:t>
      </w:r>
    </w:p>
    <w:p>
      <w:pPr>
        <w:spacing w:after="120"/>
      </w:pPr>
      <w:r>
        <w:rPr>
          <w:rFonts w:ascii="仿宋" w:hAnsi="仿宋" w:eastAsia="仿宋"/>
          <w:sz w:val="21"/>
        </w:rPr>
        <w:t>基础设施监控覆盖CentOS和ROS真实数据。长效代理客户可配置服务级检测目标、异常规则、恢复通知及钉钉/飞书机器人；同一客户可以配置多个机器人，由不同服务分别选择。告警恢复依赖实际探测结果，不以操作完成自动消警。</w:t>
      </w:r>
    </w:p>
    <w:p>
      <w:pPr>
        <w:spacing w:after="120"/>
      </w:pPr>
      <w:r>
        <w:rPr>
          <w:rFonts w:ascii="仿宋" w:hAnsi="仿宋" w:eastAsia="仿宋"/>
          <w:sz w:val="21"/>
        </w:rPr>
        <w:t>十一类日志完整记录提取、实际使用、Open API、主机、ROS、拨号、IP变化、远程动作、域名、外部代理与运营操作。七类统计分别覆盖CentOS、ROS、线路、资源池、客户使用、产品服务、外部采购及代理。当前IP数、去重IPv4、API提取量和数据面真实流量不能混算。</w:t>
      </w:r>
    </w:p>
    <w:p>
      <w:pPr>
        <w:keepNext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57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9-monitor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仿宋" w:hAnsi="仿宋" w:eastAsia="仿宋"/>
          <w:sz w:val="18"/>
        </w:rPr>
        <w:t>图9 真实监控数据、业务告警与统计分析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69"/>
        <w:gridCol w:w="4669"/>
      </w:tblGrid>
      <w:tr>
        <w:trPr>
          <w:cantSplit/>
          <w:tblHeader/>
        </w:trPr>
        <w:tc>
          <w:tcPr>
            <w:tcW w:type="dxa" w:w="4669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十一类日志</w:t>
            </w:r>
          </w:p>
        </w:tc>
        <w:tc>
          <w:tcPr>
            <w:tcW w:type="dxa" w:w="4669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七类统计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IP提取日志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CentOS资源统计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实际使用日志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ROS资源统计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Open API日志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家宽/线路统计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CentOS运行日志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来源资源池统计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ROS运行日志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客户使用统计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线路拨号日志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产品与服务统计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IP变化日志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外部采购与反向代理统计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线路远程操作日志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域名变更日志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外部供应商与反向代理日志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操作日志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—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仿宋" w:hAnsi="仿宋" w:eastAsia="仿宋"/>
          <w:b/>
          <w:sz w:val="32"/>
        </w:rPr>
        <w:t>9 运营安全与实施边界</w:t>
      </w:r>
    </w:p>
    <w:p>
      <w:pPr>
        <w:spacing w:after="120"/>
      </w:pPr>
      <w:r>
        <w:rPr>
          <w:rFonts w:ascii="仿宋" w:hAnsi="仿宋" w:eastAsia="仿宋"/>
          <w:sz w:val="21"/>
        </w:rPr>
        <w:t>客户账号、供应商密钥、线路拨号密码、Token、VPN私钥和客户机器人Webhook均按权限保护、加密或不可逆存储，默认脱敏。开通、切换、强制回收、密钥操作和其他高风险动作需具备可追溯的权限、原因、前后差异与结果。</w:t>
      </w:r>
    </w:p>
    <w:p>
      <w:pPr>
        <w:spacing w:after="120"/>
      </w:pPr>
      <w:r>
        <w:rPr>
          <w:rFonts w:ascii="仿宋" w:hAnsi="仿宋" w:eastAsia="仿宋"/>
          <w:sz w:val="21"/>
        </w:rPr>
        <w:t>本期不建设余额充值、平台积分/虚拟币、卡密、云手机、内容运营、额外的人工实名认证二审、可配置通用产品调度编辑器或ROS设备级自动主备。供应商自动采购和自动支付也不在本期范围。</w:t>
      </w:r>
    </w:p>
    <w:p>
      <w:pPr>
        <w:pStyle w:val="Heading1"/>
        <w:keepNext/>
      </w:pPr>
      <w:r>
        <w:rPr>
          <w:rFonts w:ascii="仿宋" w:hAnsi="仿宋" w:eastAsia="仿宋"/>
          <w:b/>
          <w:sz w:val="32"/>
        </w:rPr>
        <w:t>10 业务交付与验收标准</w:t>
      </w:r>
    </w:p>
    <w:p>
      <w:pPr>
        <w:keepNext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57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1-accepta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仿宋" w:hAnsi="仿宋" w:eastAsia="仿宋"/>
          <w:sz w:val="18"/>
        </w:rPr>
        <w:t>图10 工程验证、业务验证、三方联调与真实交付的验收层级</w:t>
      </w:r>
    </w:p>
    <w:p>
      <w:pPr>
        <w:spacing w:after="120"/>
      </w:pPr>
      <w:r>
        <w:rPr>
          <w:rFonts w:ascii="仿宋" w:hAnsi="仿宋" w:eastAsia="仿宋"/>
          <w:sz w:val="21"/>
        </w:rPr>
        <w:t>平台是否真正交付，不以列表状态或Mock演示为准。验收必须验证真实资源标识、客户付款核实、独享冲突阻断、采购期限覆盖、五产品实际开通/使用/停用/释放、超时查单、宽限恢复、切换失败补偿、权限脱敏和监控数据来源。</w:t>
      </w:r>
    </w:p>
    <w:p>
      <w:pPr>
        <w:pStyle w:val="Heading1"/>
        <w:keepNext/>
      </w:pPr>
      <w:r>
        <w:rPr>
          <w:rFonts w:ascii="仿宋" w:hAnsi="仿宋" w:eastAsia="仿宋"/>
          <w:b/>
          <w:sz w:val="32"/>
        </w:rPr>
        <w:t>11 三个典型客户业务场景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长效IP购买</w:t>
      </w:r>
    </w:p>
    <w:p>
      <w:pPr>
        <w:spacing w:after="120"/>
      </w:pPr>
      <w:r>
        <w:rPr>
          <w:rFonts w:ascii="仿宋" w:hAnsi="仿宋" w:eastAsia="仿宋"/>
          <w:sz w:val="21"/>
        </w:rPr>
        <w:t>客户选择长效套餐并完成订单和付款核实；平台按长效线路来源匹配资源，生成服务、固定出口与凭证；产品组真实开通并验证网络使用。到期后真实停服并在套餐宽限内保留原出口，续费成功后按原到期顺延并恢复连接。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两个独享IPv4交付</w:t>
      </w:r>
    </w:p>
    <w:p>
      <w:pPr>
        <w:spacing w:after="120"/>
      </w:pPr>
      <w:r>
        <w:rPr>
          <w:rFonts w:ascii="仿宋" w:hAnsi="仿宋" w:eastAsia="仿宋"/>
          <w:sz w:val="21"/>
        </w:rPr>
        <w:t>客户购买独享套餐的两条公网IPv4权益。平台先判断全球范围内所有有效、暂停、宽限、切换预占或待释放的出口锁，再分配两个不同的公网IPv4。相同客户已有其他独享服务占用的IP也不能重复用于本次交付。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外部供应商代理服务</w:t>
      </w:r>
    </w:p>
    <w:p>
      <w:pPr>
        <w:spacing w:after="120"/>
      </w:pPr>
      <w:r>
        <w:rPr>
          <w:rFonts w:ascii="仿宋" w:hAnsi="仿宋" w:eastAsia="仿宋"/>
          <w:sz w:val="21"/>
        </w:rPr>
        <w:t>客户付款核实通过后，运营使用已有采购能力或人工采购新上游套餐；登记归属客户、期限与可选成本额度；配置平台代理入口，完成真实连通性和代理外网出口验证后交付。到期采购自动导致风险预警和停服流程，不能承诺供应商保留上游资源。</w:t>
      </w:r>
    </w:p>
    <w:p>
      <w:pPr>
        <w:spacing w:after="120"/>
      </w:pPr>
      <w:r>
        <w:rPr>
          <w:rFonts w:ascii="仿宋" w:hAnsi="仿宋" w:eastAsia="仿宋"/>
          <w:sz w:val="21"/>
        </w:rPr>
        <w:t>这份概要版与详细设计版采用同一现行业务定义：概要解释业务目标及规则，详细版提供业务对象、字段、状态、界面和验收的可执行规格。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08" w:right="1236" w:bottom="1106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仿宋"/>
        <w:color w:val="586374"/>
        <w:sz w:val="16"/>
      </w:rPr>
      <w:t xml:space="preserve">V1.2-R3    ·    2026年10月    |    第 </w:t>
    </w:r>
    <w:fldSimple w:instr="PAGE"/>
    <w:r>
      <w:rPr>
        <w:rFonts w:ascii="仿宋" w:hAnsi="仿宋" w:eastAsia="仿宋"/>
        <w:color w:val="58637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仿宋" w:hAnsi="仿宋" w:eastAsia="仿宋"/>
        <w:color w:val="586374"/>
        <w:sz w:val="17"/>
      </w:rPr>
      <w:t>IP代理管理平台  ·  需求说明书  ·  概要版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仿宋" w:hAnsi="仿宋" w:eastAsia="仿宋"/>
      <w:color w:val="2D31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仿宋" w:hAnsi="仿宋" w:eastAsia="仿宋"/>
      <w:b/>
      <w:bCs/>
      <w:color w:val="2D314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仿宋" w:hAnsi="仿宋" w:eastAsia="仿宋"/>
      <w:b/>
      <w:bCs/>
      <w:color w:val="2D314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仿宋" w:hAnsi="仿宋" w:eastAsia="仿宋"/>
      <w:b/>
      <w:bCs/>
      <w:color w:val="2D314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仿宋" w:hAnsi="仿宋" w:eastAsia="仿宋"/>
      <w:b/>
      <w:color w:val="2D314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仿宋" w:hAnsi="仿宋" w:eastAsia="仿宋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200" w:after="100"/>
    </w:pPr>
    <w:rPr>
      <w:rFonts w:ascii="仿宋" w:hAnsi="仿宋" w:eastAsia="仿宋"/>
      <w:b w:val="0"/>
      <w:bCs/>
      <w:color w:val="2D314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IP代理管理平台需求说明书V1.2-R3（概要版）</dc:title>
  <dc:subject>IP代理平台现行完整业务需求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