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jc w:val="center"/>
      </w:pPr>
      <w:r>
        <w:rPr>
          <w:rFonts w:ascii="仿宋" w:hAnsi="仿宋" w:eastAsia="仿宋"/>
          <w:b/>
          <w:color w:val="2D3142"/>
          <w:sz w:val="56"/>
        </w:rPr>
        <w:t>IP 代理管理平台</w:t>
      </w:r>
    </w:p>
    <w:p>
      <w:pPr>
        <w:jc w:val="center"/>
      </w:pPr>
      <w:r>
        <w:rPr>
          <w:rFonts w:ascii="仿宋" w:hAnsi="仿宋" w:eastAsia="仿宋"/>
          <w:b/>
          <w:color w:val="A94626"/>
          <w:sz w:val="48"/>
        </w:rPr>
        <w:t>需求说明书</w:t>
      </w:r>
    </w:p>
    <w:p>
      <w:pPr>
        <w:jc w:val="center"/>
      </w:pPr>
      <w:r>
        <w:rPr>
          <w:rFonts w:ascii="仿宋" w:hAnsi="仿宋" w:eastAsia="仿宋"/>
          <w:b/>
          <w:color w:val="2D3142"/>
          <w:sz w:val="34"/>
        </w:rPr>
        <w:t>详细设计版｜业务与研发规格</w:t>
      </w:r>
    </w:p>
    <w:p>
      <w:pPr>
        <w:jc w:val="center"/>
      </w:pPr>
      <w:r>
        <w:rPr>
          <w:rFonts w:ascii="仿宋" w:hAnsi="仿宋" w:eastAsia="仿宋"/>
          <w:color w:val="586374"/>
          <w:sz w:val="22"/>
        </w:rPr>
        <w:t>完整业务需求 · 数据模型 · 页面字段 · 状态机 · 交互 · 接口 · 验收</w:t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p>
      <w:pPr>
        <w:spacing w:after="120"/>
      </w:pPr>
      <w:r>
        <w:rPr>
          <w:rFonts w:ascii="仿宋" w:hAnsi="仿宋" w:eastAsia="仿宋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9"/>
              </w:rPr>
              <w:t>文档属性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版本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V1.2-R3  ·  2026年10月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文档定位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完整业务需求 · 数据模型 · 页面字段 · 状态机 · 交互 · 接口 · 验收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业务范围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客户、资源、产品、订单、服务交付、监控、日志、统计与系统管理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文字字体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全文及嵌入图表均使用仿宋字体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交付界限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9"/>
              </w:rPr>
              <w:t>业务需求定义；外部API真实能力与网络交付须独立联调验收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目录与阅读指引</w:t>
      </w:r>
    </w:p>
    <w:p>
      <w:pPr>
        <w:spacing w:after="120"/>
      </w:pPr>
      <w:r>
        <w:rPr>
          <w:rFonts w:ascii="仿宋" w:hAnsi="仿宋" w:eastAsia="仿宋"/>
          <w:sz w:val="21"/>
        </w:rPr>
        <w:t>1. 项目定位、范围和协作边界</w:t>
      </w:r>
    </w:p>
    <w:p>
      <w:pPr>
        <w:spacing w:after="120"/>
      </w:pPr>
      <w:r>
        <w:rPr>
          <w:rFonts w:ascii="仿宋" w:hAnsi="仿宋" w:eastAsia="仿宋"/>
          <w:sz w:val="21"/>
        </w:rPr>
        <w:t>2. 术语与业务对象</w:t>
      </w:r>
    </w:p>
    <w:p>
      <w:pPr>
        <w:spacing w:after="120"/>
      </w:pPr>
      <w:r>
        <w:rPr>
          <w:rFonts w:ascii="仿宋" w:hAnsi="仿宋" w:eastAsia="仿宋"/>
          <w:sz w:val="21"/>
        </w:rPr>
        <w:t>3. 资源体系与资源占用</w:t>
      </w:r>
    </w:p>
    <w:p>
      <w:pPr>
        <w:spacing w:after="120"/>
      </w:pPr>
      <w:r>
        <w:rPr>
          <w:rFonts w:ascii="仿宋" w:hAnsi="仿宋" w:eastAsia="仿宋"/>
          <w:sz w:val="21"/>
        </w:rPr>
        <w:t>4. 五类产品与套餐</w:t>
      </w:r>
    </w:p>
    <w:p>
      <w:pPr>
        <w:spacing w:after="120"/>
      </w:pPr>
      <w:r>
        <w:rPr>
          <w:rFonts w:ascii="仿宋" w:hAnsi="仿宋" w:eastAsia="仿宋"/>
          <w:sz w:val="21"/>
        </w:rPr>
        <w:t>5. 客户、订单与付款核实</w:t>
      </w:r>
    </w:p>
    <w:p>
      <w:pPr>
        <w:spacing w:after="120"/>
      </w:pPr>
      <w:r>
        <w:rPr>
          <w:rFonts w:ascii="仿宋" w:hAnsi="仿宋" w:eastAsia="仿宋"/>
          <w:sz w:val="21"/>
        </w:rPr>
        <w:t>6. 服务开通与外部采购</w:t>
      </w:r>
    </w:p>
    <w:p>
      <w:pPr>
        <w:spacing w:after="120"/>
      </w:pPr>
      <w:r>
        <w:rPr>
          <w:rFonts w:ascii="仿宋" w:hAnsi="仿宋" w:eastAsia="仿宋"/>
          <w:sz w:val="21"/>
        </w:rPr>
        <w:t>7. 服务生命周期与人工切换</w:t>
      </w:r>
    </w:p>
    <w:p>
      <w:pPr>
        <w:spacing w:after="120"/>
      </w:pPr>
      <w:r>
        <w:rPr>
          <w:rFonts w:ascii="仿宋" w:hAnsi="仿宋" w:eastAsia="仿宋"/>
          <w:sz w:val="21"/>
        </w:rPr>
        <w:t>8. 监控、日志、统计与安全</w:t>
      </w:r>
    </w:p>
    <w:p>
      <w:pPr>
        <w:spacing w:after="120"/>
      </w:pPr>
      <w:r>
        <w:rPr>
          <w:rFonts w:ascii="仿宋" w:hAnsi="仿宋" w:eastAsia="仿宋"/>
          <w:sz w:val="21"/>
        </w:rPr>
        <w:t>9. 业务状态及技术接口</w:t>
      </w:r>
    </w:p>
    <w:p>
      <w:pPr>
        <w:spacing w:after="120"/>
      </w:pPr>
      <w:r>
        <w:rPr>
          <w:rFonts w:ascii="仿宋" w:hAnsi="仿宋" w:eastAsia="仿宋"/>
          <w:sz w:val="21"/>
        </w:rPr>
        <w:t>10. 页面与交互详细规格（36项）</w:t>
      </w:r>
    </w:p>
    <w:p>
      <w:pPr>
        <w:spacing w:after="120"/>
      </w:pPr>
      <w:r>
        <w:rPr>
          <w:rFonts w:ascii="仿宋" w:hAnsi="仿宋" w:eastAsia="仿宋"/>
          <w:sz w:val="21"/>
        </w:rPr>
        <w:t>11. 数据字典与关键约束</w:t>
      </w:r>
    </w:p>
    <w:p>
      <w:pPr>
        <w:spacing w:after="120"/>
      </w:pPr>
      <w:r>
        <w:rPr>
          <w:rFonts w:ascii="仿宋" w:hAnsi="仿宋" w:eastAsia="仿宋"/>
          <w:sz w:val="21"/>
        </w:rPr>
        <w:t>12. 非功能要求与真实验收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1 项目定位、范围和协作边界</w:t>
      </w:r>
    </w:p>
    <w:p>
      <w:pPr>
        <w:spacing w:after="120"/>
      </w:pPr>
      <w:r>
        <w:rPr>
          <w:rFonts w:ascii="仿宋" w:hAnsi="仿宋" w:eastAsia="仿宋"/>
          <w:sz w:val="21"/>
        </w:rPr>
        <w:t>IP代理管理平台用于统一经营、交付和运营短效IP、长效IP、独享IP、VPN和隧道五种产品。平台管理客户、账号、商品套餐、订单、付款核实、资源台账、供应商采购、代理配置、服务实例、使用记录、生命周期、监控、告警、日志、数据统计以及系统权限与审计。</w:t>
      </w:r>
    </w:p>
    <w:p>
      <w:pPr>
        <w:spacing w:after="120"/>
      </w:pPr>
      <w:r>
        <w:rPr>
          <w:rFonts w:ascii="仿宋" w:hAnsi="仿宋" w:eastAsia="仿宋"/>
          <w:sz w:val="21"/>
        </w:rPr>
        <w:t>业务平台负责管理面记录、规则校验与业务编排；IP资源API负责稳定资源标识、拨号与状态等资源能力；五款产品组负责真实代理连接、凭证安装、服务停启、出口验证与数据面统计。三组可以分开交付代码，但客户的购买—使用—停用—释放必须形成可验证的闭环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syste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图1 整体业务和真实执行边界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业务模块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主要对象和功能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关键业务价值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经营工作台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客户、有效服务、到期/宽限、资源、采购风险、待办与告警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快速发现运营问题、直接追溯对象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客户与账号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个人/企业客户、认证、登录账号、凭证、白名单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识别购买者及其服务归属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资源运营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CentOS、ROS、家宽/线路、来源型资源池、固定出口、域名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使资源来源、容量与业务绑定清晰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外部代理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供应商、人工采购套餐、反向代理与交付实例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将外部采购事实转为受控的客户服务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商品交易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五款产品、套餐、订单、订单项、付款核实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按统一业务流程成交与交付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交付生命周期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开通、凭证、资源绑定、续费、暂停/恢复、宽限、终止/释放、切换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服务从销售到回收完整可控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运行管理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基础设施监控、11类日志、客户长效专项告警、7类统计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真实数据闭环、持续服务质量保障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基础与安全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后台用户、角色权限、参数、操作和登录审计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授权明确、敏感数据可保护与追踪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1.1 明确不建设的内容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不引入平台余额充值、虚拟币、卡密、云手机或内容资讯运营体系。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不新增实名认证通过后的人工二次审核环节，也不另建面向全部基础设施的客户群发故障通知。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不提供运营端通用产品调度策略编辑器、ROS设备级自动主备或后台直接承载真实VPN/隧道流量。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外部供应商采购由运营人工完成；不在本版开发自动采购或自动充值付款链。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1.2 三方职责与验收职责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主体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归属内容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验收责任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业务平台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业务数据、规则、开通编排、期限、占用、任务、状态、权限与审计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管理面、业务规则、端到端关联和补偿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资源API组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主机/ROS/线路稳定ID、在线/拨号/IP变化/BAS、真实支持的操作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资源来源样例、控制回执与故障处理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产品组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五产品真实开通、连接、停复服、迁移、更换、释放、流量和查单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每类产品数据面开通至释放的真实证据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2 术语与业务对象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定义与业务边界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订单和服务的业务权属人；认证、账号、合同信息在客户上下文汇总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家宽/线路（节点）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ROS一条逻辑拨号线路，使用稳定来源唯一标识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当前公网IPv4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线路实时上报的运行属性，可能随重拨而改变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固定公网出口IPv4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产品组确认实际向客户交付、可用于固定出口承诺的公网IPv4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来源资源池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按省市/运营商等来源属性聚合共享/长效线路的池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反向代理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上游采购与客户服务之间、由平台代理入口承载的外部服务配置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订单项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新购/续费等订单内单个产品套餐与实例数量、价格权益的快照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服务实例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交付给客户的独立服务对象，引用订单项、权益、凭证、资源和期限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操作任务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记录远端operationId、执行阶段、回查、失败与补偿的持久对象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服务到期停止访问后，保留既有固定IPv4的有限期限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业务状态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订单/服务在业务生命周期中的状态，不代表真实网络已可用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真实交付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远端执行证据和实际网络连通/出口验证共同满足交付条件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2.1 核心对象关系</w:t>
      </w:r>
    </w:p>
    <w:p>
      <w:pPr>
        <w:spacing w:after="120"/>
      </w:pPr>
      <w:r>
        <w:rPr>
          <w:rFonts w:ascii="仿宋" w:hAnsi="仿宋" w:eastAsia="仿宋"/>
          <w:sz w:val="21"/>
        </w:rPr>
        <w:t>客户拥有订单及客户账号；订单包含一个或多个订单项；NEW订单项的每个购买实例产生一条服务实例。服务实例引用实际产品/套餐快照、自有资源绑定或外部反向代理、出口IPv4占用、授权凭证、生命周期任务、日志和监控告警。供应商拥有人工登记采购套餐，采购套餐支持多个已授权反向代理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core-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图2 客户、订单、服务和资源绑定的核心关系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3 资源体系与资源占用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3.1 自有资源逻辑模型</w:t>
      </w:r>
    </w:p>
    <w:p>
      <w:pPr>
        <w:spacing w:after="120"/>
      </w:pPr>
      <w:r>
        <w:rPr>
          <w:rFonts w:ascii="仿宋" w:hAnsi="仿宋" w:eastAsia="仿宋"/>
          <w:sz w:val="21"/>
        </w:rPr>
        <w:t>现阶段每个CentOS与一个ROS成对部署；ROS只负责拨号、拨号状态及拨号事件上报，CentOS承担其余管理动作和B/C段IP统计。家宽/线路与节点是同一业务实体，一条线路关联所属ROS、拨号账号、地区运营商、端口、域名、BAS和当前公网IPv4。来源API提供稳定标识；平台内部对象ID与来源ID同时留存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-resource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图3 CentOS、ROS、线路、当前IP及来源池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核心属性与子关系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写入/维护责任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名称、管理地址、在线/心跳、CPU/内存/硬盘/负载、B/C段、ROS引用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真实同步为主，允许真实支持的受控管理动作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来源ID、拨号状态、BAS、资源负载、线路数量、最近上报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拨号数据由资源API提供，不设自动主备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线路/节点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稳定ID、拨号账号、当前IPv4、端口、域名、地区运营商、类型、IP变化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来源数据与管理属性分开；客户从服务引用派生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省市运营商、SHARED/LONG成员及状态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业务分组；同一线路可加入多个池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固定出口占用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公网IPv4、所属服务/客户、状态、起止、验证及释放任务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必须由服务交付和远端回执推动变更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3.2 来源池与独享出口约束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资源池不是IP地址列表，也不把外部反向代理、独享IP、VPN或隧道建成线路成员分类；只按来源属性维护共享与长效线路。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线路的当前IP变化可更新资源实时数据及IP变化日志，但不得直接覆盖历史服务的固定出口承诺。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独享的判重单位是公网出口IPv4，不因端口、源线路、ROS、CentOS或来源池不同而改变；同客户不同独享服务亦不能复用。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独享占用在有效、暂停、宽限保留、切换预占和释放待确认阶段均视作未释放。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历史存量服务和IPv4的排他锁需要逐条核对后才能开放新的分配或正式切流。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3.3 外部采购与代理资源</w:t>
      </w:r>
    </w:p>
    <w:p>
      <w:pPr>
        <w:spacing w:after="120"/>
      </w:pPr>
      <w:r>
        <w:rPr>
          <w:rFonts w:ascii="仿宋" w:hAnsi="仿宋" w:eastAsia="仿宋"/>
          <w:sz w:val="21"/>
        </w:rPr>
        <w:t>外部资源由供应商、采购套餐、反向代理、客户服务四类对象构成。采购套餐在供应商侧实际购买，平台登记生效和到期时间、授权客户及接口状态；采购成本、额度和剩余量均允许留空，且不推动客户余额扣费、授权或自动续购。跨客户采购套餐共享在本版本禁止；同一客户多服务复用仅限供应商允许且容量可靠验证、无超额风险时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2-external-cha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图4 供应商、采购套餐、反向代理及服务实例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4 五类产品与套餐</w:t>
      </w:r>
    </w:p>
    <w:p>
      <w:pPr>
        <w:spacing w:after="120"/>
      </w:pPr>
      <w:r>
        <w:rPr>
          <w:rFonts w:ascii="仿宋" w:hAnsi="仿宋" w:eastAsia="仿宋"/>
          <w:sz w:val="21"/>
        </w:rPr>
        <w:t>产品模块采用统一产品主档和分产品专项配置。共同字段包括编号、名称、类型、状态、适用协议、认证方式、地区运营商能力、可售状态、规则版本摘要及关联套餐；产品资源匹配算法由代码内置并通过发布变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</w:tblGrid>
      <w:tr>
        <w:trPr>
          <w:cantSplit/>
          <w:tblHeader/>
        </w:trPr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资源/交付方式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套餐关键参数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有效性与风险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短效IP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共享来源池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IP提取、有效时长、频控、去重周期、地区运营商限制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提取时按内置规则选择资源；提取日志不能代表真实流量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长效IP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长效线路/固定出口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有效期、固定出口、更换次数、宽限天数、专项监控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允许在真实能力范围内多客户共享；到期停服留出口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独享IP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实际公网IPv4独享占用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去重IPv4数量、固定出口、宽限天数、受控更换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同客户不同独享服务也禁止复用；占用含暂停与待释放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VPN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产品组真实VPN资源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VPN协议、账号/证书、设备数、并发、有效期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业务平台不处理VPN流量，也不虚建VPN来源资源池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隧道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产品组真实隧道接入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平台代理入口、端口、协议、认证、并发、会话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客户入口与对外出口是不同字段；真实连接需探测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4.1 套餐权益与历史快照</w:t>
      </w:r>
    </w:p>
    <w:p>
      <w:pPr>
        <w:spacing w:after="120"/>
      </w:pPr>
      <w:r>
        <w:rPr>
          <w:rFonts w:ascii="仿宋" w:hAnsi="仿宋" w:eastAsia="仿宋"/>
          <w:sz w:val="21"/>
        </w:rPr>
        <w:t>套餐包括产品、销售周期与单位、金额币种、可用时长、提取/请求额度、白名单限制、并发设备数量、实际交付IP数、更换权益以及其他产品专项限制。新购时对套餐及权益形成订单项快照，服务实例在真实开通时再记录服务生效日期、业务到期、实际出口和宽限天数快照。套餐被编辑不能静默改变已确认订单和已开通服务权益。</w:t>
      </w:r>
    </w:p>
    <w:p>
      <w:pPr>
        <w:spacing w:after="120"/>
      </w:pPr>
      <w:r>
        <w:rPr>
          <w:rFonts w:ascii="仿宋" w:hAnsi="仿宋" w:eastAsia="仿宋"/>
          <w:sz w:val="21"/>
        </w:rPr>
        <w:t>长效IP和独享IP必须由各自套餐显式设置宽限天数，允许0天，但上架时应再次提示风险；不启用全局默认宽限。宽限不是客户继续连接的有效期，也不得扩展到未明确承诺固定出口的其他三类产品。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5 客户、订单与付款核实</w:t>
      </w:r>
    </w:p>
    <w:p>
      <w:pPr>
        <w:spacing w:after="120"/>
      </w:pPr>
      <w:r>
        <w:rPr>
          <w:rFonts w:ascii="仿宋" w:hAnsi="仿宋" w:eastAsia="仿宋"/>
          <w:sz w:val="21"/>
        </w:rPr>
        <w:t>客户建立、状态启停、认证、账号、白名单、查看服务和使用汇总按独立子对象管理。客户不直接拥有某条家宽/线路，线路关联的客户必须通过服务资源绑定反向查询。客户冻结/停用需说明对已拥有服务、认证与Open API调用的影响。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5.1 订单结构与类型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订单类型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适用业务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核心要求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NEW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购买新服务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可多订单项、多实例、自有与外部混合交付；五步开通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RENEW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已有服务续费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必须绑定目标服务，继承服务归属；宽限内从原到期顺延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EXPAND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已有服务扩容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依目标套餐/产品能力形成增量权益，不误建新服务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CHANGE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已有服务配置变更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预览前后差异、影响出口与凭证及远端任务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5.2 付款状态与客户资金安全</w:t>
      </w:r>
    </w:p>
    <w:p>
      <w:pPr>
        <w:spacing w:after="120"/>
      </w:pPr>
      <w:r>
        <w:rPr>
          <w:rFonts w:ascii="仿宋" w:hAnsi="仿宋" w:eastAsia="仿宋"/>
          <w:sz w:val="21"/>
        </w:rPr>
        <w:t>订单可确认，但付款必须由具备权限的运营角色根据真实到账凭证核实。未付款、付款未知、处理中、失败时，不允许发起会带来新供应商费用的采购或续购，也不应在需要该上游采购的情况下承诺客户已真实交付。核验留存付款来源、时间、凭证摘要、核验人员、结论与审计事件。内部特权调整独立权限与原因，不能伪装成客户已经付款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-payment-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图5 外部付费采购的付款前置决策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6 服务开通与外部交付</w:t>
      </w:r>
    </w:p>
    <w:p>
      <w:pPr>
        <w:spacing w:after="120"/>
      </w:pPr>
      <w:r>
        <w:rPr>
          <w:rFonts w:ascii="仿宋" w:hAnsi="仿宋" w:eastAsia="仿宋"/>
          <w:sz w:val="21"/>
        </w:rPr>
        <w:t>普通开通以确认后的NEW订单为入口。第一步只读核对订单及订单项；第二步逐项逐实例配置SELF_OWNED或EXTERNAL_PROXY交付；第三步执行来源、资源、独享出口、采购期限、权限、适配器及认证条件预检；第四步展示影响并确认操作原因；第五步按服务实例返回任务编号、固定出口、代理入口、真实结果及受控一次性凭证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business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图6 从订单到真实服务交付及后续运营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6.1 自有产品交付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短效：通过共享来源池和代码内置规则选线，校验提取额度、时效与认证；服务绑定共享池而非永久绑定某个动态提取IP。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长效：从长效类型线路中选择真实可供固定出口，允许在产品真实约束下共享；保存出口承诺及原线路引用。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独享：按IP数量分配若干不重复公网IPv4，在事务与真实出口检测中阻断所有既有独享占用，包括同客户其他独享服务。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VPN与隧道：必须由对应产品适配器真实下发并验证连接；适配器缺失时不得显示客户可使用。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6.2 外部交付</w:t>
      </w:r>
    </w:p>
    <w:p>
      <w:pPr>
        <w:spacing w:after="120"/>
      </w:pPr>
      <w:r>
        <w:rPr>
          <w:rFonts w:ascii="仿宋" w:hAnsi="仿宋" w:eastAsia="仿宋"/>
          <w:sz w:val="21"/>
        </w:rPr>
        <w:t>外部实例绑定特定反向代理，要求供应商采购存在、上游授权客户符合服务归属、采购已生效且覆盖客户目标服务期限、目标反向代理未被其他服务占用。采购不足时走“已付款—人工续购—上游生效—平台代理配置—网络验证—完成交付”的顺序。平台入口、上游入口和上游Secret隔离，客户只能得到允许交付的凭证和入口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6.3 开通任务及幂等机制</w:t>
      </w:r>
    </w:p>
    <w:p>
      <w:pPr>
        <w:spacing w:after="120"/>
      </w:pPr>
      <w:r>
        <w:rPr>
          <w:rFonts w:ascii="仿宋" w:hAnsi="仿宋" w:eastAsia="仿宋"/>
          <w:sz w:val="21"/>
        </w:rPr>
        <w:t>外部请求必须创建可追踪operationId。若远端实际开通成功而平台等待超时，需先基于相同operationId向产品组查单，再判断补偿/重试；不得以本地事务回滚为由重复生成第二套代理服务或独享IP占用。对于订单含多个项、多个实例的情况，逐实例持久保存执行结果和失败理由，不以整单一个“成功”掩盖部分失败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7 服务生命周期与人工切换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7.1 业务到期、宽限和续费</w:t>
      </w:r>
    </w:p>
    <w:p>
      <w:pPr>
        <w:spacing w:after="120"/>
      </w:pPr>
      <w:r>
        <w:rPr>
          <w:rFonts w:ascii="仿宋" w:hAnsi="仿宋" w:eastAsia="仿宋"/>
          <w:sz w:val="21"/>
        </w:rPr>
        <w:t>服务在业务有效期结束时必须发起真实停服。停服成功的长效/独享实例保留其原固定出口至宽限截止（原业务到期时刻 + N×24小时）。宽限期间服务不可访问，宽限内付款及上游覆盖通过后，续期从原到期时刻顺延，完成真实数据面恢复才恢复可用状态。超宽限重新办理开通，服务新期限自实际交付时刻计算。</w:t>
      </w:r>
    </w:p>
    <w:p>
      <w:pPr>
        <w:spacing w:after="120"/>
      </w:pPr>
      <w:r>
        <w:rPr>
          <w:rFonts w:ascii="仿宋" w:hAnsi="仿宋" w:eastAsia="仿宋"/>
          <w:sz w:val="21"/>
        </w:rPr>
        <w:t>N=0时，到期立即停服并进入受控回收；如远端未证实停服或释放，平台仍保持待执行与锁定状态，绝不以数据库状态变化冒充远端完成。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5-lifecyc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图7 服务到期、宽限内恢复与受控释放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7.2 暂停、恢复、终止</w:t>
      </w:r>
    </w:p>
    <w:p>
      <w:pPr>
        <w:spacing w:after="120"/>
      </w:pPr>
      <w:r>
        <w:rPr>
          <w:rFonts w:ascii="仿宋" w:hAnsi="仿宋" w:eastAsia="仿宋"/>
          <w:sz w:val="21"/>
        </w:rPr>
        <w:t>人工暂停须依据产品组反馈实际停止访问，且不自动延长原到期时间。恢复需再校验服务期限、资源绑定、独享出口、代理采购覆盖和真实执行。主动提前终止不享受宽限保留，远端撤销凭证、解绑和实际释放成功后才解除相关资源占用；失败则维持锁并保留可重试任务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7.3 人工主备切换</w:t>
      </w:r>
    </w:p>
    <w:p>
      <w:pPr>
        <w:spacing w:after="120"/>
      </w:pPr>
      <w:r>
        <w:rPr>
          <w:rFonts w:ascii="仿宋" w:hAnsi="仿宋" w:eastAsia="仿宋"/>
          <w:sz w:val="21"/>
        </w:rPr>
        <w:t>切换入口属于具体客户服务的资源工作区，由有权人员选择合适的备用线路；优先同地区同运营商。系统展示原/目标线路、承诺固定出口公网IPv4、接入域名/端口、监控目标、差异与风险。跨地区/运营商或改变承诺固定出口必须取得客户事先同意，并核实资源API和产品组支持真实迁移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-manual-swi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图8 备用线路预检、客户同意、执行及失败补偿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7.4 管理状态、执行状态、实际可用性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-three-status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图9 业务、异步任务与真实网络验证分别记录</w:t>
      </w:r>
    </w:p>
    <w:p>
      <w:pPr>
        <w:spacing w:after="120"/>
      </w:pPr>
      <w:r>
        <w:rPr>
          <w:rFonts w:ascii="仿宋" w:hAnsi="仿宋" w:eastAsia="仿宋"/>
          <w:sz w:val="21"/>
        </w:rPr>
        <w:t>业务订单/服务状态描述交易生命周期；执行阶段描述待下发、运行中、失败、补偿等操作任务；探测与产品回执描述客户真实连接是否可用。三种状态各自保留来源、最近时间和失败原因；没有数据的状态是“未知/未接入”，不能假定正常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8 监控、日志、统计与系统安全</w:t>
      </w:r>
    </w:p>
    <w:p>
      <w:pPr>
        <w:spacing w:after="120"/>
      </w:pPr>
      <w:r>
        <w:rPr>
          <w:rFonts w:ascii="仿宋" w:hAnsi="仿宋" w:eastAsia="仿宋"/>
          <w:sz w:val="21"/>
        </w:rPr>
        <w:t>基础监控聚焦CentOS和ROS真实运行状态；历史采集过期标UNKNOWN并显示采样时间。长效代理专项监控针对客户真实的服务/代理地址，按检测周期、超时、连续失败阈值判定告警；相同客户可分别配置多个钉钉/飞书机器人并按服务绑定。切换后的检测目标更新后继续实际探测，人工归档不等于指标恢复。</w:t>
      </w: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9-monitor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图10 真实资源和代理探测驱动的告警、通知与统计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8.1 十一类日志的业务定义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日志类别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必需追溯内容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IP提取日志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客户、服务、提取请求、实际返回数量、返回出口、频控/去重与结果。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实际使用日志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真实代理请求、成功与失败、上/下行Byte、连接或实际出口；没有回传不可由IP提取推算。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Open API日志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调用主体、接口路径、方法、状态码、耗时、请求标识与敏感参数脱敏。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CentOS运行日志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CentOS主机状态、管理操作、负载及时间与真实结果。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ROS运行日志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ROS拨号、运行及同步事件、BAS摘要；不包含自动主备配置。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线路拨号日志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稳定线路ID、拨号账号掩码、时间、BAS、前后IP、成功与失败。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IP变化日志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每次线路公网IP发生变化的旧值、新值、触发事件、固定出口服务影响。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线路远程操作日志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受控远程动作、线路与CentOS执行方、操作员、原因及远端回执。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域名变更日志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域名旧/新解析、影响对象、同步任务与实际成功/失败。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外部供应商与反向代理日志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供应商、采购、反向代理配置、测试、停用、上游覆盖、执行结果。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操作日志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后台用户登录以外的业务编辑、服务变更、切换、凭证和高危操作的前后脱敏记录。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8.2 七类统计与指标计算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统计入口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口径及数据来源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CentOS资源统计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CentOS主机在线/离线、负载、对应B/C段去重、数据时间。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ROS资源统计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ROS运行、线路在线、拨号IP数、BAS等基础指标。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家宽/线路统计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线路类型与在线数、重拨次数、当前去重IPv4、历史IP变化。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来源资源池统计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池成员共享/长效数量、成员状态、跨池去重与B/C段。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客户使用统计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客户按服务的实际IP提取量与真实代理流量分别展示。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产品与服务统计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五产品套餐的服务数量、活跃、暂停、宽限、到期及真实交付。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外部采购与反向代理统计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采购套餐到期风险、代理可用状态、供应商与关联客户服务。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8.3 系统安全与角色职责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后台账户、菜单、业务操作、客户数据权限、导出、手工开通、切换、强制释放、凭证查看和远端控制分别授权，后端必须独立验证。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线路拨号密码、供应商Key、上游反向代理认证、VPN私钥、Open Token、机器人Webhook均默认掩码；敏感值加密或不可逆存储，权限操作仅展示实际新签发凭证。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高危操作必须保存操作者、时间、来源地址、对象、前后脱敏差异、操作原因、operationId和执行结果；失败、拒绝与远端超时也应记录。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9 业务状态和外部系统接口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必要状态/阶段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转换原则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草稿、已确认、待开通、处理中、已完成、已取消、异常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交易确认与付款核实、真实交付分离；精确状态码由后端契约固定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付款核实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待核验、已到账、未知、失败/驳回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已到账才允许增加付费采购；需凭证及权限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待交付、运行中、暂停、到期停服、宽限保留、待释放、终止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只有真实产品回执才证明访问启停和释放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占用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预占、有效、暂停保留、宽限保留、释放待确认、已释放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释放前不得分配给其他独享服务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任务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待执行、执行中、查单中、成功、失败、补偿中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同operationId幂等查单与重试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监控/通知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正常、异常、未知、恢复/归档、待通知/已送达/失败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恢复依据真实探测，通知结果独立记录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外部能力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平台的请求/接收责任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外部组必须提供的真实能力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资源同步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稳定来源ID、双ID映射、数据变化时间、增量和同步失败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CentOS/ROS/线路状态、当前IP、BAS、拨号、上报与采集时间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资源操作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授权、资格预检、幂等operationId和审计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实际重拨、切换、验证及远端失败查询能力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产品生命周期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服务号、套餐快照、资源绑定、业务动作和幂等任务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五款产品开通、停用、恢复、续费/变更、终止/释放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真实网络证明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记录代理入口、实际出口、探测时间及证据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固定出口真实性、可连接与流量数据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供应商代理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运营登记采购、上游客户授权、平台代理配置请求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真实代理入口下发、停用/解绑和上游有效期校验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客户通知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机器人引用、重试、脱敏与日志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钉钉/飞书Webhook或签名能力与真实发送结果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10 页面与交互详细规格</w:t>
      </w:r>
    </w:p>
    <w:p>
      <w:pPr>
        <w:spacing w:after="120"/>
      </w:pPr>
      <w:r>
        <w:rPr>
          <w:rFonts w:ascii="仿宋" w:hAnsi="仿宋" w:eastAsia="仿宋"/>
          <w:sz w:val="21"/>
        </w:rPr>
        <w:t>系统在全部业务页面遵守统一交互模型：列表支持筛选、重置、分页、导出（按权限）及刷新时刻；点击业务记录进入详情视图，显示主档摘要、相关业务子表、状态与操作历史；新建和编辑使用对象选择器。高风险操作须经过预检、影响和差异预览、原因/二次确认、异步执行与回查。业务人员无须输入原始技术ID或阅读JSON才能完成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交互主题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统一标准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业务导航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点击列表行查看详情；跨表链接可达客户、订单、服务、采购、线路，返回保留筛选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数据可信度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区分主档字段、关联派生、合同快照、外部实时上报；缺失/过期显示未知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主子关系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订单—订单项、池—成员、客户—服务、供应商—采购—代理、服务—绑定/凭证/任务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高风险动作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明确对象、可见影响、二次预检、权限、原因、真实回执与补偿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凭证和隐私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默认脱敏，实际签发时受控一次性展示；导出和日志不能泄漏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异常可恢复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保留非敏感输入，展示业务可理解错误原因，可使用operationId回查</w:t>
            </w:r>
          </w:p>
        </w:tc>
      </w:tr>
    </w:tbl>
    <w:p>
      <w:pPr>
        <w:spacing w:after="0"/>
      </w:pP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7-core-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图11 以服务实例贯通对象主子关系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10.1 工作台与经营看板</w:t>
      </w:r>
    </w:p>
    <w:p>
      <w:pPr>
        <w:spacing w:after="120"/>
      </w:pPr>
      <w:r>
        <w:rPr>
          <w:rFonts w:ascii="仿宋" w:hAnsi="仿宋" w:eastAsia="仿宋"/>
          <w:sz w:val="21"/>
        </w:rPr>
        <w:t>统一展示有效客户、有效服务、各类资源、交付失败、待付款、采购到期、宽限与待回收。指标必须能够钻取同口径业务列表。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10.1.01 首页工作台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功能目标：首页工作台支持业务人员在授权范围内检索、操作并追踪相关对象，必须完整体现其父子关联、真实状态和业务限制。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有效客户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有效服务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管理面待验真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近三天到期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宽限停服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回收失败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CentOS在线数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ROS在线数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当前去重IP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采购到期风险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活动告警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采样时刻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详情与业务关联：指标口径字典；待办队列链接；告警与失败任务引用。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按指标钻取；刷新；查看异常任务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执行阻断：缺失/超期数据标UNKNOWN；统计口径不得混用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10.2 客户、认证与账号</w:t>
      </w:r>
    </w:p>
    <w:p>
      <w:pPr>
        <w:spacing w:after="120"/>
      </w:pPr>
      <w:r>
        <w:rPr>
          <w:rFonts w:ascii="仿宋" w:hAnsi="仿宋" w:eastAsia="仿宋"/>
          <w:sz w:val="21"/>
        </w:rPr>
        <w:t>客户是合同和服务归属的业务主档。认证、账号、白名单、订单与服务相互关联，但资源线路不直接赋给客户。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10.2.02 客户列表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功能目标：客户列表支持业务人员在授权范围内检索、操作并追踪相关对象，必须完整体现其父子关联、真实状态和业务限制。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名称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类型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认证状态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联系人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负责人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有效服务数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最近到期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宽限停服数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创建时间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详情与业务关联：点击客户行进入详情；来源筛选缓存。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编辑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校验引用、当前状态与并发版本；历史快照不被静默覆盖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停用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展示在用对象及下游影响，不做物理删除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恢复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校验关联资源、有效期与远端实际恢复回执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导出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执行阻断：存在有效服务时停用客户须展示影响，后端仍需校验是否允许新购与继续使用。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10.2.03 客户详情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功能目标：客户详情支持业务人员在授权范围内检索、操作并追踪相关对象，必须完整体现其父子关联、真实状态和业务限制。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名称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认证状态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负责人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联系人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服务数量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最近到期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业务来源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详情与业务关联：认证历史；账号子表；订单项子表；服务子表；专项监控引用。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新建订单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跳转服务续费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既有服务归属、原到期/宽限、目标到期及上游覆盖期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特权直接开通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来源订单、付款条件及逐实例资源/交付预检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查看认证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执行阻断：关联服务与订单必须真实属于当前客户；从客户详情出发创建订单时带入所属客户但不得直接写线路。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10.2.04 客户认证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功能目标：客户认证支持业务人员在授权范围内检索、操作并追踪相关对象，必须完整体现其父子关联、真实状态和业务限制。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申请类型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认证材料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申请状态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提交时间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审核时间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审核人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驳回原因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证照摘要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详情与业务关联：材料版本/申请历史子表。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审核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驳回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重新提交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查看材料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执行阻断：不新增认证通过后的竞品人工二次审核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10.2.05 客户账号与服务认证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功能目标：客户账号与服务认证支持业务人员在授权范围内检索、操作并追踪相关对象，必须完整体现其父子关联、真实状态和业务限制。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账号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所属客户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认证方式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凭证摘要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白名单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绑定服务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最后使用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有效期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详情与业务关联：服务引用；Token或证书；白名单记录。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冻结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恢复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校验关联资源、有效期与远端实际恢复回执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重置凭证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编辑白名单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校验引用、当前状态与并发版本；历史快照不被静默覆盖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执行阻断：新凭证仅在真实签发时限权展示一次；其他场景脱敏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10.3 自有资源、固定出口及域名</w:t>
      </w:r>
    </w:p>
    <w:p>
      <w:pPr>
        <w:spacing w:after="120"/>
      </w:pPr>
      <w:r>
        <w:rPr>
          <w:rFonts w:ascii="仿宋" w:hAnsi="仿宋" w:eastAsia="仿宋"/>
          <w:sz w:val="21"/>
        </w:rPr>
        <w:t>CentOS与ROS当前1:1；ROS仅负责拨号，线路使用稳定来源ID；来源资源池聚合共享/长效线路。独享的计数与排他按真实公网IPv4。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10.3.06 资源概览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功能目标：资源概览支持业务人员在授权范围内检索、操作并追踪相关对象，必须完整体现其父子关联、真实状态和业务限制。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来源池数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去重IPv4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共享线路数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长效线路数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异常数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同步时刻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详情与业务关联：主机、ROS、线路与资源池导航；外部采购独立汇总。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刷新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查看同步记录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钻取明细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执行阻断：历史IP列表不等于资源池，外部资源不混入自有池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10.3.07 CentOS列表与详情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功能目标：CentOS列表与详情支持业务人员在授权范围内检索、操作并追踪相关对象，必须完整体现其父子关联、真实状态和业务限制。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CentOS编号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主机名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管理地址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运行状态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CPU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内存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负载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磁盘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B段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C段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心跳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关联ROS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详情与业务关联：ROS 1:1引用；家宽线路；资源日志和监控。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详情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按能力远程操作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执行阻断：B/C段只归CentOS；无真实能力时远程按钮禁用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10.3.08 ROS列表与详情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功能目标：ROS列表与详情支持业务人员在授权范围内检索、操作并追踪相关对象，必须完整体现其父子关联、真实状态和业务限制。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ROS编号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名称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拨号状态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CPU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内存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负载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线路数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在线数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当前IP数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BAS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上报时间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详情与业务关联：拨号线路子表；BAS；拨号日志；对应CentOS。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查看拨号日志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执行阻断：不提供ROS级自动主备、B/C段配置和策略编辑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10.3.09 家宽/线路详情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功能目标：家宽/线路详情支持业务人员在授权范围内检索、操作并追踪相关对象，必须完整体现其父子关联、真实状态和业务限制。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稳定线路号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所属ROS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拨号账号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当前公网IPv4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HTTP端口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SOCKS5端口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域名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共享/长效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省市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运营商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BAS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在线状态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更新时间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详情与业务关联：所属资源池成员子表；服务绑定；拨号/IP变化；域名；备用引用。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筛选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检测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查看关联服务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域名操作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按支持能力重拨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执行阻断：不能以当前公网IP、拨号账号等变化字段替代来源系统的稳定唯一标识；在线状态须带采样时间。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10.3.10 来源资源池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功能目标：来源资源池支持业务人员在授权范围内检索、操作并追踪相关对象，必须完整体现其父子关联、真实状态和业务限制。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池编号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名称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省份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城市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运营商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总线路数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共享数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在线数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当前去重IPv4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B/C段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统计时刻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详情与业务关联：成员线路子表；服务引用；成员变更历史。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编辑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校验引用、当前状态与并发版本；历史快照不被静默覆盖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添加/移除成员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停用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展示在用对象及下游影响，不做物理删除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执行阻断：来源池成员可重复跨池，移除在用线路要先核验服务影响，不能因删除池成员解除真实占用。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10.3.11 独享IPv4出口占用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功能目标：独享IPv4出口占用支持业务人员在授权范围内检索、操作并追踪相关对象，必须完整体现其父子关联、真实状态和业务限制。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实际出口IPv4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源线路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当前线路IPv4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所属客户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所属服务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排他类型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占用阶段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保留截止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真实验证时刻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详情与业务关联：出口claim历史；服务绑定；切换预占；释放任务。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冲突查询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进入服务分配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受控释放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查看占用日志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执行阻断：同一公网出口IPv4跨任何客户与同客户不同独享服务全局排他，含暂停、宽限、切换预占、释放待确认。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10.3.12 备用候选管理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功能目标：备用候选管理支持业务人员在授权范围内检索、操作并追踪相关对象，必须完整体现其父子关联、真实状态和业务限制。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所属服务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主线路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主出口IPv4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候选线路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候选出口IPv4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运营商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候选健康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资格结果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校验时间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详情与业务关联：服务候选子表；资格失败记录；实时资源探测。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增加/删除候选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在用引用必须被保护；优先停用与保留审计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查看资格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进入人工切换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候选资格、实际出口差异、客户同意和真实切换能力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执行阻断：候选不等于自动生效主绑定；真实能力不足不得执行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10.3.13 人工主备切换向导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功能目标：人工主备切换向导支持业务人员在授权范围内检索、操作并追踪相关对象，必须完整体现其父子关联、真实状态和业务限制。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原线路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目标线路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原固定出口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新固定出口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原入口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新入口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客户同意证明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操作任务ID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详情与业务关联：预检结果；影响差异；回执；补偿记录。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选择候选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预览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确认原因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查进度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回查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执行阻断：目标冲突、真实操作能力缺失、改变承诺出口未获客户同意均阻断执行；失败保留原主绑定。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10.3.14 域名配置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功能目标：域名配置支持业务人员在授权范围内检索、操作并追踪相关对象，必须完整体现其父子关联、真实状态和业务限制。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域名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关联线路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当前解析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计划解析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记录类型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TTL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服务引用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同步状态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错误码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详情与业务关联：DNS修改历史；远程任务/服务引用。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绑定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变更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重试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复用operationId先查远端执行结果，不产生重复服务或占用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执行阻断：仅返回执行成功不能代表DNS真实生效；密钥脱敏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10.4 供应商、采购与反向代理</w:t>
      </w:r>
    </w:p>
    <w:p>
      <w:pPr>
        <w:spacing w:after="120"/>
      </w:pPr>
      <w:r>
        <w:rPr>
          <w:rFonts w:ascii="仿宋" w:hAnsi="仿宋" w:eastAsia="仿宋"/>
          <w:sz w:val="21"/>
        </w:rPr>
        <w:t>供应商采购由运营人工完成，受客户付款前置和采购有效期约束；平台代理与上游凭证隔离。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10.4.15 供应商管理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功能目标：供应商管理支持业务人员在授权范围内检索、操作并追踪相关对象，必须完整体现其父子关联、真实状态和业务限制。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供应商号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名称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联系人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能力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接口状态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有效服务引用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更新时间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详情与业务关联：采购套餐子表；接口配置；权限审计。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编辑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校验引用、当前状态与并发版本；历史快照不被静默覆盖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检测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停用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展示在用对象及下游影响，不做物理删除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执行阻断：停用需识别采购及在用服务；不得泄漏上游Secret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10.4.16 外部采购套餐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功能目标：外部采购套餐支持业务人员在授权范围内检索、操作并追踪相关对象，必须完整体现其父子关联、真实状态和业务限制。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采购编号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供应商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上游产品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上游到期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授权客户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可用状态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已分配代理数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成本(可选)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额度(可选)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剩余额度(可选)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付款核实引用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详情与业务关联：反向代理子表；续购记录；客户服务引用。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新增人工采购登记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续购登记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检测覆盖期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到期提醒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执行阻断：客户付款成功可核实之后，才允许登记可能产生新费用的人工采购或续购；采购成本/额度字段允许为空且不参与扣减。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10.4.17 反向代理管理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功能目标：反向代理管理支持业务人员在授权范围内检索、操作并追踪相关对象，必须完整体现其父子关联、真实状态和业务限制。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代理编号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采购编号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授权客户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上游入口(脱敏)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平台代理入口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代理状态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可用性探测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服务占用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上报时间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详情与业务关联：配置历史；适配任务；关联服务；异常日志。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配置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测试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停用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展示在用对象及下游影响，不做物理删除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解绑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查执行结果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执行阻断：平台代理需要明确授权客户及采购覆盖期；没有远端下发和真实验证不能标识客户可用。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10.5 产品、套餐及销售规则</w:t>
      </w:r>
    </w:p>
    <w:p>
      <w:pPr>
        <w:spacing w:after="120"/>
      </w:pPr>
      <w:r>
        <w:rPr>
          <w:rFonts w:ascii="仿宋" w:hAnsi="仿宋" w:eastAsia="仿宋"/>
          <w:sz w:val="21"/>
        </w:rPr>
        <w:t>五款产品共用产品套餐和订单服务结构，售卖权益依据产品专项能力；长效/独享按套餐显式宽限。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10.5.18 产品列表/配置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功能目标：产品列表/配置支持业务人员在授权范围内检索、操作并追踪相关对象，必须完整体现其父子关联、真实状态和业务限制。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名称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短效/长效/独享/VPN/隧道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支持协议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认证方式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供应地区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适配器能力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内置规则版本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详情与业务关联：套餐子表；产品专项配置；销售状态与变更历史。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编辑专项参数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校验引用、当前状态与并发版本；历史快照不被静默覆盖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启用/停用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展示在用对象及下游影响，不做物理删除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查看套餐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执行阻断：不恢复运营可编辑的通用资源调度策略和VPN/隧道产品资源池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10.5.19 套餐管理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功能目标：套餐管理支持业务人员在授权范围内检索、操作并追踪相关对象，必须完整体现其父子关联、真实状态和业务限制。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套餐号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时长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时长单位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价格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币种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提取/连接/设备额度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IP数量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白名单数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固定出口承诺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宽限天数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启用状态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详情与业务关联：权益明细；关联服务；变更历史；服务快照。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编辑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校验引用、当前状态与并发版本；历史快照不被静默覆盖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上架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下架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预览影响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执行阻断：LONG/EXCLUSIVE每个套餐宽限天数显式填写，允许零天且上架确认；历史服务权益保持快照。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10.6 订单与服务全生命周期</w:t>
      </w:r>
    </w:p>
    <w:p>
      <w:pPr>
        <w:spacing w:after="120"/>
      </w:pPr>
      <w:r>
        <w:rPr>
          <w:rFonts w:ascii="仿宋" w:hAnsi="仿宋" w:eastAsia="仿宋"/>
          <w:sz w:val="21"/>
        </w:rPr>
        <w:t>新购逐订单项逐实例真实交付；续费、扩容、变更作用既有服务；暂停、宽限、终止和释放以数据面真实证据推进。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10.6.20 订单管理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功能目标：订单管理支持业务人员在授权范围内检索、操作并追踪相关对象，必须完整体现其父子关联、真实状态和业务限制。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订单类型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付款核实状态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订单项数量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服务实例数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订单金额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币种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预计期限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创建时间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详情与业务关联：订单项子表；付款凭证审计；服务实例；操作任务。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新购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确认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取消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查付款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打开开通/变更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来源订单、付款条件及逐实例资源/交付预检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执行阻断：订单确认不等于付款成功，RENEW/EXPAND/CHANGE必须关联既有服务，不能误生新实例。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10.6.21 订单五步开通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功能目标：订单五步开通支持业务人员在授权范围内检索、操作并追踪相关对象，必须完整体现其父子关联、真实状态和业务限制。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订单与项快照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逐项交付方式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目标实例数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资源或反向代理候选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冲突结果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上游期限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付款核实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执行原因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operationId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交付回执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详情与业务关联：逐实例交付计划；预检清单；已创建服务及失败任务。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订单确认(只读)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逐项配置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资源预检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确认提交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结果回查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执行阻断：一个订单多个项、多实例必须逐项配置；付款、资源、排他、上游期限和真实适配预检后才提交。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10.6.22 特权直接开通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功能目标：特权直接开通支持业务人员在授权范围内检索、操作并追踪相关对象，必须完整体现其父子关联、真实状态和业务限制。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套餐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实例数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交付方式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候选资源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操作原因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权限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交付结果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详情与业务关联：逐实例资源绑定；认证凭证；审计。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授权用户手工开通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来源订单、付款条件及逐实例资源/交付预检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回查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执行阻断：不能通过直接开通绕过独享冲突/付款要求/真实适配校验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10.6.23 服务实例列表与详情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功能目标：服务实例列表与详情支持业务人员在授权范围内检索、操作并追踪相关对象，必须完整体现其父子关联、真实状态和业务限制。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订单项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产品/套餐快照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交付阶段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探测状态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生效时刻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到期时刻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宽限截止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固定出口IPv4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当前IPv4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入口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最后验真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详情与业务关联：资源绑定；出口占用；备用；凭证；运行记录；操作任务；告警与审计。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暂停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恢复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校验关联资源、有效期与远端实际恢复回执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续费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既有服务归属、原到期/宽限、目标到期及上游覆盖期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变更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终止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客户服务影响、真实停止与释放、失败补偿及高危授权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查看凭证与真实结果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执行阻断：业务状态、外部任务阶段、真实网络可用性分别显示，不得把逻辑管理面开通标成真实已交付。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10.6.24 服务资源绑定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功能目标：服务资源绑定支持业务人员在授权范围内检索、操作并追踪相关对象，必须完整体现其父子关联、真实状态和业务限制。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绑定类型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来源池/线路/出口/代理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主备身份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绑定状态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生效时间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退出时间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真实验证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operationId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详情与业务关联：版本/绑定历史；IPv4授权与释放；供应商采购链。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选择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绑定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换出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保留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释放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查看历史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执行阻断：所有变更从服务上下文发起；线路主档无客户归属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10.6.25 服务续费/变更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功能目标：服务续费/变更支持业务人员在授权范围内检索、操作并追踪相关对象，必须完整体现其父子关联、真实状态和业务限制。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目标服务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RENEW/EXPAND/CHANGE订单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原套餐权益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新套餐权益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原到期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新到期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固定IP影响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采购覆盖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详情与业务关联：差异清单；订单与付款凭证；远端回执；服务变更历史。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选择服务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差异预览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确认原因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回查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执行阻断：宽限内续期从原到期顺延；超宽限重新开通以实际交付时刻起算；外部采购期限不足阻断。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10.6.26 到期/宽限与受控释放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功能目标：到期/宽限与受控释放支持业务人员在授权范围内检索、操作并追踪相关对象，必须完整体现其父子关联、真实状态和业务限制。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原到期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宽限天数快照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数字/带单位；服务快照/真实回执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宽限截止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文本/业务属性；服务快照/真实回执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停服任务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固定IPv4保留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超宽限状态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待释放资源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尝试次数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最后错误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回执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详情与业务关联：生命周期任务；出口claim记录；关联订单与服务。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查看到期队列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触发/重试任务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复用operationId先查远端执行结果，不产生重复服务或占用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查看真实停服与释放结果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执行阻断：到期真实停服后可保留出口，0天到期进入受控回收；远端释放前保持IPv4排他锁。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10.7 监控、日志、专项客户告警和统计</w:t>
      </w:r>
    </w:p>
    <w:p>
      <w:pPr>
        <w:spacing w:after="120"/>
      </w:pPr>
      <w:r>
        <w:rPr>
          <w:rFonts w:ascii="仿宋" w:hAnsi="仿宋" w:eastAsia="仿宋"/>
          <w:sz w:val="21"/>
        </w:rPr>
        <w:t>CentOS/ROS运行监控、十一类日志、长效客户专项监控与七类统计分别保留独立口径。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10.7.27 CentOS监控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功能目标：CentOS监控支持业务人员在授权范围内检索、操作并追踪相关对象，必须完整体现其父子关联、真实状态和业务限制。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主机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在线状态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心跳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CPU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内存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磁盘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负载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B/C段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采集时间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异常原因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详情与业务关联：资源详情、趋势、异常日志、关联ROS。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看趋势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追溯异常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按能力诊断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执行阻断：过期状态UNKNOWN，B/C不归ROS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10.7.28 ROS监控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功能目标：ROS监控支持业务人员在授权范围内检索、操作并追踪相关对象，必须完整体现其父子关联、真实状态和业务限制。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ROS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拨号状态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在线线路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总线路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当前IPv4数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区分实际承诺出口与线路当前IP，独享还须占用冲突校验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BAS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CPU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内存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负载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最后上报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详情与业务关联：关联线路、拨号日志、监控趋势。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看线路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看拨号日志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执行阻断：不显示B/C段或设备级自动主备开关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10.7.29 十一类日志中心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功能目标：十一类日志中心支持业务人员在授权范围内检索、操作并追踪相关对象，必须完整体现其父子关联、真实状态和业务限制。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日志类别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发生时间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对象编号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客户或服务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错误原因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operationId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请求来源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持续时间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采样来源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详情与业务关联：11类日志独立入口；相关业务对象链接；失败明细。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检索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详情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导出(限权)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回查任务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执行阻断：原始JSON默认折叠；令牌/密码及上游URL敏感参数脱敏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10.7.30 长效代理专项监控配置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功能目标：长效代理专项监控配置支持业务人员在授权范围内检索、操作并追踪相关对象，必须完整体现其父子关联、真实状态和业务限制。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监控号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检测目标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文本/业务属性；来源接口/真实采样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协议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周期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超时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连续失败阈值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最近成功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异常时刻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通知机器人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详情与业务关联：监控目标子表；告警及发送历史；目标变更记录。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选择本客户服务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启动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停止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试探测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执行阻断：只向同一客户授权的长效服务与目标进行监控通知；目标变更后必须依据真实探测恢复告警。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10.7.31 客户钉钉/飞书机器人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功能目标：客户钉钉/飞书机器人支持业务人员在授权范围内检索、操作并追踪相关对象，必须完整体现其父子关联、真实状态和业务限制。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机器人号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所属客户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通道类型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Webhook摘要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敏感值按权限脱敏；仅受控写入、签发或测试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启用状态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最近测试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引用监控数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失败次数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详情与业务关联：监控配置引用子表；发送测试/记录。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新增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必填字段、业务名称/编号唯一性、归属有效；保存后可关联查询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编辑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校验引用、当前状态与并发版本；历史快照不被静默覆盖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测试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仅真实接口支持才可执行，记录来源、结果、超时与重试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禁用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执行阻断：一个客户可以配置多个钉钉/飞书机器人；不同长效服务各自选择且严禁跨客户机器人引用。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10.7.32 专项告警与通知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功能目标：专项告警与通知支持业务人员在授权范围内检索、操作并追踪相关对象，必须完整体现其父子关联、真实状态和业务限制。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告警号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编号/关联引用；主档/关联对象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监控目标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触发/恢复时间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失败次数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发送通道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发送结果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重试次数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详情与业务关联：探测样本；告警变化；通知尝试及重试。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确认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归档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查看发送结果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检索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执行阻断：人工归档不等于探测恢复；失败记录不可清理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10.7.33 七类数据统计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功能目标：七类数据统计支持业务人员在授权范围内检索、操作并追踪相关对象，必须完整体现其父子关联、真实状态和业务限制。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统计类别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统计时段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地域/运营商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数量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去重口径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更新时间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分子分母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真实流量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提取量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详情与业务关联：七种统计独立视图；资源/客户/服务钻取。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切换维度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候选资格、实际出口差异、客户同意和真实切换能力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导出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重算(按权限)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执行阻断：统计维度明确时段、单位、来源、去重方法；数据面未接入不以0冒充真实业务量。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10.8 系统管理和全局交互</w:t>
      </w:r>
    </w:p>
    <w:p>
      <w:pPr>
        <w:spacing w:after="120"/>
      </w:pPr>
      <w:r>
        <w:rPr>
          <w:rFonts w:ascii="仿宋" w:hAnsi="仿宋" w:eastAsia="仿宋"/>
          <w:sz w:val="21"/>
        </w:rPr>
        <w:t>用户/角色/权限、操作审计、受控操作与跨模块导航支撑完整业务执行。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10.8.34 后台用户角色权限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功能目标：后台用户角色权限支持业务人员在授权范围内检索、操作并追踪相关对象，必须完整体现其父子关联、真实状态和业务限制。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用户号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账号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角色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启停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最后登录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权限树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特殊权限包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更新时刻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详情与业务关联：角色绑定用户；权限点与菜单；高危授权历史。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新建用户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分配角色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停用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展示在用对象及下游影响，不做物理删除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配置权限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执行阻断：角色授权前后端双重校验，远端操作、特权开通、人工切换和强制释放为独立权限。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10.8.35 登录日志与操作审计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功能目标：登录日志与操作审计支持业务人员在授权范围内检索、操作并追踪相关对象，必须完整体现其父子关联、真实状态和业务限制。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操作者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来源IP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地址/网络参数；对应业务对象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登录时间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操作原因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差异摘要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operationId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错误原因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创建时间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详情与业务关联：失败登录；高危操作；服务/资源追溯。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查看详情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仅访问授权范围；展示可信来源与刷新时刻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限权导出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执行阻断：失败或拒绝也留痕；前后变更摘要必须脱敏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10.8.36 全局业务关联与高危交互</w:t>
      </w:r>
    </w:p>
    <w:p>
      <w:pPr>
        <w:spacing w:after="120"/>
      </w:pPr>
      <w:r>
        <w:rPr>
          <w:rFonts w:ascii="仿宋" w:hAnsi="仿宋" w:eastAsia="仿宋"/>
          <w:sz w:val="21"/>
        </w:rPr>
        <w:t>功能目标：全局业务关联与高危交互支持业务人员在授权范围内检索、操作并追踪相关对象，必须完整体现其父子关联、真实状态和业务限制。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业务字段或查询项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类型/来源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展示与校验要求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来源模块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业务对象号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枚举/状态；来源接口/真实采样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状态需含数据来源与更新时间；过期/未接入不得显示正常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操作权限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文本/业务属性；任务/日志/审计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预检时间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日期时间/周期；对应业务对象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明确时区、来源和业务生效时刻；历史需保留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影响对象数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数字/带单位；对应业务对象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明确单位、数量口径及缺失值；不得与其他指标混算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差异预览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执行原因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异步任务ID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编号/关联引用；任务/日志/审计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最终回执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文本/业务属性；对应业务对象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展示业务可识别值；修改校验状态、归属及权限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详情与业务关联：业务关联导航；来源筛选；操作记录/补偿任务。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业务动作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执行前校验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完成判定与跟踪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打开右侧详情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二次确认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提交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刷新结果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预检当前状态、操作权限及关联对象；同步记录业务结果和审计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结果须返回业务对象变化及操作任务/审计引用；异步任务可刷新回查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执行阻断：列表详情保留业务导航上下文，高风险操作执行前必须预检、差异、原因、二次确认与任务回查。</w:t>
      </w:r>
    </w:p>
    <w:p>
      <w:pPr>
        <w:spacing w:after="120"/>
      </w:pPr>
      <w:r>
        <w:rPr>
          <w:rFonts w:ascii="仿宋" w:hAnsi="仿宋" w:eastAsia="仿宋"/>
          <w:sz w:val="21"/>
        </w:rPr>
        <w:t>页面验证：检索和字段可用、业务主子引用完整、权限控制生效；缺失/过期/外部失败得到明确反馈；重复操作不产生重复服务、错误资源占用或未记录的状态跳变。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11 数据模型与关键约束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4"/>
        <w:gridCol w:w="2334"/>
        <w:gridCol w:w="2334"/>
        <w:gridCol w:w="2334"/>
      </w:tblGrid>
      <w:tr>
        <w:trPr>
          <w:cantSplit/>
          <w:tblHeader/>
        </w:trPr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逻辑实体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主对象含义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关键关联</w:t>
            </w:r>
          </w:p>
        </w:tc>
        <w:tc>
          <w:tcPr>
            <w:tcW w:type="dxa" w:w="2334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一致性和生命周期约束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customer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customer_account、auth_record、order、service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认证与状态改变有客户服务影响校验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prd_product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五类产品主档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prd_package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内置资源规则摘要只读、停用须检查套餐/服务引用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prd_package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可销售权益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biz_order_item、svc_instance快照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长效/独享宽限必填且允许0；订单与服务保留成交快照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biz_order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NEW/RENEW等业务交易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biz_order_item、payment_verification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订单确认和真实付款分离；取消/异常保留历史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biz_order_item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订单子项与服务数量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svc_instance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新购实例数与订单项一致；变更指向既有服务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svc_instance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客户持有的服务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resource_binding、credential、task、monitor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服务状态、交付阶段、探测状态与期限独立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res_centos / res_ros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基础设施双对象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res_line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当前1:1；历史来源ID可追溯，B/C段只在CentOS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res_line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稳定的家宽/线路实体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pool_member、binding、IP_history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当前IPv4是实时属性；客户归属由绑定查询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res_pool / pool_member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来源池/成员关系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res_line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SHARED/LONG类型，跨池可重复成员，统计去重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svc_egress_claim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公网IPv4服务占用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svc_instance、res_line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同客户不同独享服务也全局排他；宽限/待释放保持锁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res_supplier / purchase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外部供应商采购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res_reverse_proxy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采购客户隔离，有效期限覆盖下游，成本/额度选填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res_reverse_proxy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平台代理配置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svc_instance、provision_task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未真实配置不算可用，上游Secret隔离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svc_action_task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长任务/幂等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operationId、service、remote_operation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超时查单优先，保留失败补偿与真实回执</w:t>
            </w:r>
          </w:p>
        </w:tc>
      </w:tr>
      <w:tr>
        <w:trPr>
          <w:cantSplit/>
        </w:trPr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monitor_target / robot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客户长效代理监控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alarm、notification</w:t>
            </w:r>
          </w:p>
        </w:tc>
        <w:tc>
          <w:tcPr>
            <w:tcW w:type="dxa" w:w="2334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机器人限同客户多配置，恢复依据真实探测</w:t>
            </w:r>
          </w:p>
        </w:tc>
      </w:tr>
      <w:tr>
        <w:trPr>
          <w:cantSplit/>
        </w:trPr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log/stat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日志与小时等汇总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customer、service、resource</w:t>
            </w:r>
          </w:p>
        </w:tc>
        <w:tc>
          <w:tcPr>
            <w:tcW w:type="dxa" w:w="2334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实际用量和IP提取独立，来源与采样时间齐全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11.1 关键业务不变量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同一个公网IPv4在任何未真实释放的独享占用中不得重复授予另一个独享服务，即便两服务属于同一个客户。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服务的客户归属须和订单项、外部采购授权客户一致；不能借列表编辑直接把资源线路挂给客户。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长效/独享到期真实停服在先、保留出口在后；真实解绑/释放确认前不可解除IPv4占用。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外部付费采购的新增或续购必须在客户实际付款成功之后；成本/额度字段为空不能阻断已付款的合法人工采购登记。</w:t>
      </w:r>
    </w:p>
    <w:p>
      <w:pPr>
        <w:pStyle w:val="ListBullet"/>
        <w:spacing w:after="120"/>
      </w:pPr>
      <w:r>
        <w:rPr>
          <w:rFonts w:ascii="仿宋" w:hAnsi="仿宋" w:eastAsia="仿宋"/>
          <w:sz w:val="21"/>
        </w:rPr>
        <w:t>产品配置修改不可反写已售订单项快照和已开通服务快照；客户固定IP变更须取得同意或进入故障补偿流程。</w:t>
      </w:r>
    </w:p>
    <w:p>
      <w:pPr>
        <w:pStyle w:val="Heading1"/>
        <w:keepNext/>
      </w:pPr>
      <w:r>
        <w:rPr>
          <w:rFonts w:ascii="仿宋" w:hAnsi="仿宋" w:eastAsia="仿宋"/>
          <w:b/>
          <w:sz w:val="32"/>
        </w:rPr>
        <w:t>12 非功能要求与真实验收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69"/>
        <w:gridCol w:w="4669"/>
      </w:tblGrid>
      <w:tr>
        <w:trPr>
          <w:cantSplit/>
          <w:tblHeader/>
        </w:trPr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方面</w:t>
            </w:r>
          </w:p>
        </w:tc>
        <w:tc>
          <w:tcPr>
            <w:tcW w:type="dxa" w:w="4669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需求与交付约束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性能容量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现有数千级家宽/线路必须分页、索引检索；核心列表P95目标不超过2秒，复杂统计可异步/预聚合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可用性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单个外部系统异常不得使其余管理模块整体不可用；同步和通知具备超时、重试、熔断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一致性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所有涉及外部系统的服务动作可按operationId幂等查单、补偿与重试，远端状态和本地状态分开保存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迁移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历史Flyway迁移不得回改，增量迁移验证空库与存量，旧独享IPv4占用未核对不得开放新售卖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审计安全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账号权限、Token、私钥、上游密码、Webhook加密/掩码，失败和高危行为审计</w:t>
            </w:r>
          </w:p>
        </w:tc>
      </w:tr>
      <w:tr>
        <w:trPr>
          <w:cantSplit/>
        </w:trPr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数据质量</w:t>
            </w:r>
          </w:p>
        </w:tc>
        <w:tc>
          <w:tcPr>
            <w:tcW w:type="dxa" w:w="4669"/>
            <w:vAlign w:val="center"/>
            <w:shd w:fill="F3F4F6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当前IP和在线状态保留来源、采样时间；统计不把未接入真实流量写为0代表已使用</w:t>
            </w:r>
          </w:p>
        </w:tc>
      </w:tr>
      <w:tr>
        <w:trPr>
          <w:cantSplit/>
        </w:trPr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运营保障</w:t>
            </w:r>
          </w:p>
        </w:tc>
        <w:tc>
          <w:tcPr>
            <w:tcW w:type="dxa" w:w="4669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关键调度/通知/资源同步任务有运行记录、失败告警；数据库备份并验证恢复，聚合支持重算</w:t>
            </w:r>
          </w:p>
        </w:tc>
      </w:tr>
    </w:tbl>
    <w:p>
      <w:pPr>
        <w:spacing w:after="0"/>
      </w:pPr>
    </w:p>
    <w:p>
      <w:pPr>
        <w:keepNext/>
        <w:spacing w:before="1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4000" cy="357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1-accept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rPr>
          <w:rFonts w:ascii="仿宋" w:hAnsi="仿宋" w:eastAsia="仿宋"/>
          <w:sz w:val="18"/>
        </w:rPr>
        <w:t>图12 工程、管理逻辑、接口和真实网络的分层验收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12.1 跨系统端到端验收清单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01  多项多实例新购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两个订单项分别采用自有和外部交付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逐实例建服务、无重复开通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资源/产品实际响应和网络连通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02  独享跨客户出口冲突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同出口IPv4不同线路与端口，A已占用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B开通阻断、不修改A资源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并发数据库冲突+实际公网出口证明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03  长效跨客户共享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同一IPv4的两个长效客户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产品能力允许时可共享固定出口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实际共享连接和出口证明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04  到期停服保留IP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长效/独享已到期且有宽限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客户访问停止、固定IPv4保持占用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数据面拒绝连接+锁未释放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05  宽限续费恢复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宽限内且上游期限覆盖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原到期顺延，原出口真实恢复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真实恢复连接+相同出口IP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06  宽限超期释放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宽限结束且未归还出口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真实解绑成功后释放占用锁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资源/产品远端释放回执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07  人工主备切换成功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健康候选、权限与客户同意已具备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预览、执行和真实验证一致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真实资源操作+入口迁移+探测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08  人工切换失败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目标冲突或远端超时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保留原绑定，进入回查/补偿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失败记录、远端查单与幂等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09  采购期限不足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采购截止早于拟续费截止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不得承诺客户续费成功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采购与平台代理实际状态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10  外部代理暂停终止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外部代理已活跃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暂停/恢复/终止在数据面生效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网络实测与远端操作回执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11  五款产品真实交付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短效、长效、独享、VPN、隧道各一项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开通使用停用释放四段闭环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五组各自实际网络交付证据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12  权限与凭证脱敏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只读、运营、资源、管理员角色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越权拒绝、敏感字段不外泄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HTTP403与服务端审计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13  资源同步稳定ID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相同拨号账号跨记录、IP变更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不以动态IP去重稳定资源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资源API真实同步样本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14  远端成功回执丢失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首调用成功但平台超时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同operationId重试不重复占用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产品查单及远端审计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15  付款先行防资损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订单已确认但付款未知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新购采购/开通阻断、成功付款后才放行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付款审计+接口拒绝+供应商无自动扣费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16  采购可选值续购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付款成功、成本/额度为空且上游期限短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空字段可存、需真实采购覆盖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付款凭证+人工供应商购入+反代验证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17  续费服务归属和去重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未付款、错客户、错服务、重复提交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均拒绝并保留期限和出口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订单审批日志+真实续费回执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3"/>
        <w:keepNext/>
      </w:pPr>
      <w:r>
        <w:rPr>
          <w:rFonts w:ascii="仿宋" w:hAnsi="仿宋" w:eastAsia="仿宋"/>
          <w:b/>
          <w:sz w:val="23"/>
        </w:rPr>
        <w:t>验收案例 18  到期任务去重与停服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3"/>
        <w:gridCol w:w="3113"/>
        <w:gridCol w:w="3113"/>
      </w:tblGrid>
      <w:tr>
        <w:trPr>
          <w:cantSplit/>
          <w:tblHeader/>
        </w:trPr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前提与操作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平台与业务应达到的结果</w:t>
            </w:r>
          </w:p>
        </w:tc>
        <w:tc>
          <w:tcPr>
            <w:tcW w:type="dxa" w:w="3113"/>
            <w:shd w:fill="2D3142"/>
          </w:tcPr>
          <w:p>
            <w:pPr>
              <w:spacing w:after="20"/>
            </w:pPr>
            <w:r/>
            <w:r>
              <w:rPr>
                <w:rFonts w:ascii="仿宋" w:hAnsi="仿宋" w:eastAsia="仿宋"/>
                <w:b/>
                <w:color w:val="FFFFFF"/>
                <w:sz w:val="18"/>
              </w:rPr>
              <w:t>必须取得的真实证据</w:t>
            </w:r>
          </w:p>
        </w:tc>
      </w:tr>
      <w:tr>
        <w:trPr>
          <w:cantSplit/>
        </w:trPr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0天和3天宽限、重复调度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动作只建一次、无远端回执状态不虚变</w:t>
            </w:r>
          </w:p>
        </w:tc>
        <w:tc>
          <w:tcPr>
            <w:tcW w:type="dxa" w:w="3113"/>
            <w:vAlign w:val="center"/>
          </w:tcPr>
          <w:p>
            <w:pPr>
              <w:spacing w:after="20" w:line="264" w:lineRule="auto"/>
            </w:pPr>
            <w:r/>
            <w:r>
              <w:rPr>
                <w:rFonts w:ascii="仿宋" w:hAnsi="仿宋" w:eastAsia="仿宋"/>
                <w:sz w:val="18"/>
              </w:rPr>
              <w:t>数据库任务日志+真实停服释放证据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仿宋" w:hAnsi="仿宋" w:eastAsia="仿宋"/>
          <w:sz w:val="21"/>
        </w:rPr>
        <w:t>验收方式：在授权测试环境准备对应客户、订单、服务、出口和实际产品能力，执行成功/失败及必要并发或重试分支；保存脱敏请求、operationId、来源时间、真实回执与网络验证结果。</w:t>
      </w:r>
    </w:p>
    <w:p>
      <w:pPr>
        <w:pStyle w:val="Heading2"/>
        <w:keepNext/>
      </w:pPr>
      <w:r>
        <w:rPr>
          <w:rFonts w:ascii="仿宋" w:hAnsi="仿宋" w:eastAsia="仿宋"/>
          <w:b/>
          <w:sz w:val="26"/>
        </w:rPr>
        <w:t>12.2 验收结论与依赖边界</w:t>
      </w:r>
    </w:p>
    <w:p>
      <w:pPr>
        <w:spacing w:after="120"/>
      </w:pPr>
      <w:r>
        <w:rPr>
          <w:rFonts w:ascii="仿宋" w:hAnsi="仿宋" w:eastAsia="仿宋"/>
          <w:sz w:val="21"/>
        </w:rPr>
        <w:t>交付验收分为四层：工程可启动/构建迁移、业务流程及约束、三方接口真实联调、实际代理网络可连接/停复服/释放。后一层不能被前一层替代。只有具备真实资源API和五类产品网络回执的场景才可以标记通过；仍缺少真实接口时应标记“待联调”，不得将模拟成功当成客户可用。</w:t>
      </w:r>
    </w:p>
    <w:p>
      <w:pPr>
        <w:spacing w:after="120"/>
      </w:pPr>
      <w:r>
        <w:rPr>
          <w:rFonts w:ascii="仿宋" w:hAnsi="仿宋" w:eastAsia="仿宋"/>
          <w:sz w:val="21"/>
        </w:rPr>
        <w:t>需由技术负责人确认的接口细项包括资源稳定ID、BAS字段、B/C段真实样例、ROS采样频率、跨主机切换能力、产品出口验证、实际流量与远端幂等查询；此类事项作为接口能力确认，不改变本文件已经确定的业务权益和流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08" w:right="1236" w:bottom="1106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仿宋"/>
        <w:color w:val="586374"/>
        <w:sz w:val="16"/>
      </w:rPr>
      <w:t xml:space="preserve">V1.2-R3    ·    2026年10月    |    第 </w:t>
    </w:r>
    <w:fldSimple w:instr="PAGE"/>
    <w:r>
      <w:rPr>
        <w:rFonts w:ascii="仿宋" w:hAnsi="仿宋" w:eastAsia="仿宋"/>
        <w:color w:val="58637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仿宋" w:hAnsi="仿宋" w:eastAsia="仿宋"/>
        <w:color w:val="586374"/>
        <w:sz w:val="17"/>
      </w:rPr>
      <w:t>IP代理管理平台  ·  需求说明书  ·  详细设计版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仿宋" w:hAnsi="仿宋" w:eastAsia="仿宋"/>
      <w:color w:val="2D31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仿宋" w:hAnsi="仿宋" w:eastAsia="仿宋"/>
      <w:b/>
      <w:bCs/>
      <w:color w:val="2D31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仿宋" w:hAnsi="仿宋" w:eastAsia="仿宋"/>
      <w:b/>
      <w:bCs/>
      <w:color w:val="2D314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 w:ascii="仿宋" w:hAnsi="仿宋" w:eastAsia="仿宋"/>
      <w:b/>
      <w:bCs/>
      <w:color w:val="2D31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仿宋" w:hAnsi="仿宋" w:eastAsia="仿宋"/>
      <w:b/>
      <w:color w:val="2D31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仿宋" w:hAnsi="仿宋" w:eastAsia="仿宋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100"/>
    </w:pPr>
    <w:rPr>
      <w:rFonts w:ascii="仿宋" w:hAnsi="仿宋" w:eastAsia="仿宋"/>
      <w:b w:val="0"/>
      <w:bCs/>
      <w:color w:val="2D314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IP代理管理平台需求说明书V1.2-R3（详细设计版）</dc:title>
  <dc:subject>IP代理平台现行完整业务需求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