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42038"/>
          <w:sz w:val="40"/>
        </w:rPr>
        <w:t>Sunkara Dineshgopi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464E5A"/>
          <w:sz w:val="20"/>
        </w:rPr>
        <w:t>M: 201-284-1559   |   E: dineshgopi.sunkara@gmail.com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color w:val="464E5A"/>
          <w:sz w:val="20"/>
        </w:rPr>
        <w:t>linkedin.com/in/sunkara-dineshgopi-86464919b   |   github.com/sunkara1111</w:t>
      </w:r>
    </w:p>
    <w:p>
      <w:pPr>
        <w:spacing w:before="200" w:after="40"/>
        <w:pBdr>
          <w:bottom w:val="single" w:sz="8" w:space="1" w:color="283852"/>
        </w:pBdr>
      </w:pPr>
      <w:r>
        <w:rPr>
          <w:rFonts w:ascii="Calibri" w:hAnsi="Calibri" w:eastAsia="Calibri"/>
          <w:b/>
          <w:color w:val="142038"/>
          <w:sz w:val="24"/>
        </w:rPr>
        <w:t>Summary</w:t>
      </w:r>
    </w:p>
    <w:p>
      <w:pPr>
        <w:spacing w:after="120"/>
      </w:pPr>
      <w:r>
        <w:rPr>
          <w:rFonts w:ascii="Calibri" w:hAnsi="Calibri" w:eastAsia="Calibri"/>
          <w:b w:val="0"/>
          <w:color w:val="1C2026"/>
          <w:sz w:val="21"/>
        </w:rPr>
        <w:t>Results-driven Automation &amp; Controls Engineer and manufacturing quality professional specializing in industrial automation, Operational Technology (OT) platforms, Building Management Systems (BMS), and software architecture within highly regulated GxP / GMP environments. Combines an interdisciplinary foundation across Information Technology (IT) and Computer Science (CS) to bridge the gap between physical plant machinery and complex software systems. Proven expertise in PLC/DCS architectures, SCADA design (Ignition, AVEVA), full-stack microservices development, cloud deployment, and strict data integrity compliance across pharmaceutical and industrial manufacturing lines.</w:t>
      </w:r>
    </w:p>
    <w:p>
      <w:pPr>
        <w:spacing w:before="200" w:after="40"/>
        <w:pBdr>
          <w:bottom w:val="single" w:sz="8" w:space="1" w:color="283852"/>
        </w:pBdr>
      </w:pPr>
      <w:r>
        <w:rPr>
          <w:rFonts w:ascii="Calibri" w:hAnsi="Calibri" w:eastAsia="Calibri"/>
          <w:b/>
          <w:color w:val="142038"/>
          <w:sz w:val="24"/>
        </w:rPr>
        <w:t>Skills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Automation &amp; Control Systems: </w:t>
      </w:r>
      <w:r>
        <w:rPr>
          <w:rFonts w:ascii="Calibri" w:hAnsi="Calibri" w:eastAsia="Calibri"/>
          <w:b w:val="0"/>
          <w:color w:val="1C2026"/>
          <w:sz w:val="21"/>
        </w:rPr>
        <w:t>PLC (Allen-Bradley, Siemens), DCS (DeltaV), SCADA (Ignition, FactoryTalk View, AVEVA), HMI Development, Vision Sensors, Sterile Fill-Finish Lines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Programming &amp; Configuration: </w:t>
      </w:r>
      <w:r>
        <w:rPr>
          <w:rFonts w:ascii="Calibri" w:hAnsi="Calibri" w:eastAsia="Calibri"/>
          <w:b w:val="0"/>
          <w:color w:val="1C2026"/>
          <w:sz w:val="21"/>
        </w:rPr>
        <w:t>Rockwell Studio 5000, RSLogix 500/5000, Ladder Logic, Structured Text, Python, JavaScript, Java (Spring Boot, Hibernate), SQL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MES &amp; Digital Systems: </w:t>
      </w:r>
      <w:r>
        <w:rPr>
          <w:rFonts w:ascii="Calibri" w:hAnsi="Calibri" w:eastAsia="Calibri"/>
          <w:b w:val="0"/>
          <w:color w:val="1C2026"/>
          <w:sz w:val="21"/>
        </w:rPr>
        <w:t>Syncade, MasterControl, Electronic Batch Records (EBR), Recipe Authoring, MES–DCS Integration, MES Transactions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Validation &amp; Compliance: </w:t>
      </w:r>
      <w:r>
        <w:rPr>
          <w:rFonts w:ascii="Calibri" w:hAnsi="Calibri" w:eastAsia="Calibri"/>
          <w:b w:val="0"/>
          <w:color w:val="1C2026"/>
          <w:sz w:val="21"/>
        </w:rPr>
        <w:t>GMP, GxP, 21 CFR Part 11, GAMP 5, IQ/OQ/UAT, FAT/SAT, Change Control, CAPA, Data Integrity, System Risk Assessment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Batch &amp; Process Standards: </w:t>
      </w:r>
      <w:r>
        <w:rPr>
          <w:rFonts w:ascii="Calibri" w:hAnsi="Calibri" w:eastAsia="Calibri"/>
          <w:b w:val="0"/>
          <w:color w:val="1C2026"/>
          <w:sz w:val="21"/>
        </w:rPr>
        <w:t>ISA S88, ISA S95, Batch Process Design, Recipe Management, Process Optimization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Networking/Integration: </w:t>
      </w:r>
      <w:r>
        <w:rPr>
          <w:rFonts w:ascii="Calibri" w:hAnsi="Calibri" w:eastAsia="Calibri"/>
          <w:b w:val="0"/>
          <w:color w:val="1C2026"/>
          <w:sz w:val="21"/>
        </w:rPr>
        <w:t>OPC, Ethernet/IP, Industrial Networks, System Integration, SQL Server (ODBC/DSN Connectivity), Data Historians (OSI PI)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Building &amp; Utility Systems: </w:t>
      </w:r>
      <w:r>
        <w:rPr>
          <w:rFonts w:ascii="Calibri" w:hAnsi="Calibri" w:eastAsia="Calibri"/>
          <w:b w:val="0"/>
          <w:color w:val="1C2026"/>
          <w:sz w:val="21"/>
        </w:rPr>
        <w:t>BAS/BMS (Siemens Desigo, Insight), Environmental Monitoring Systems (EMS), Cleanroom Systems, Process Equipment Integration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Troubleshooting &amp; Maintenance: </w:t>
      </w:r>
      <w:r>
        <w:rPr>
          <w:rFonts w:ascii="Calibri" w:hAnsi="Calibri" w:eastAsia="Calibri"/>
          <w:b w:val="0"/>
          <w:color w:val="1C2026"/>
          <w:sz w:val="21"/>
        </w:rPr>
        <w:t>Root Cause Analysis (RCA), PLC/SCADA Diagnostics, I/O &amp; Communication Failures, Preventive Maintenance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/>
          <w:color w:val="142038"/>
          <w:sz w:val="21"/>
        </w:rPr>
        <w:t xml:space="preserve">Software &amp; Cloud Infrastructure: </w:t>
      </w:r>
      <w:r>
        <w:rPr>
          <w:rFonts w:ascii="Calibri" w:hAnsi="Calibri" w:eastAsia="Calibri"/>
          <w:b w:val="0"/>
          <w:color w:val="1C2026"/>
          <w:sz w:val="21"/>
        </w:rPr>
        <w:t>Microservices Architecture, RESTful &amp; SOAP Web Services, Docker, Jenkins, Git, AWS, Azure, CI/CD Pipelines, JUnit, Mockito</w:t>
      </w:r>
    </w:p>
    <w:p>
      <w:pPr>
        <w:spacing w:before="200" w:after="40"/>
        <w:pBdr>
          <w:bottom w:val="single" w:sz="8" w:space="1" w:color="283852"/>
        </w:pBdr>
      </w:pPr>
      <w:r>
        <w:rPr>
          <w:rFonts w:ascii="Calibri" w:hAnsi="Calibri" w:eastAsia="Calibri"/>
          <w:b/>
          <w:color w:val="142038"/>
          <w:sz w:val="24"/>
        </w:rPr>
        <w:t>Experience</w:t>
      </w:r>
    </w:p>
    <w:p>
      <w:pPr>
        <w:tabs>
          <w:tab w:pos="10224" w:val="right"/>
        </w:tabs>
        <w:spacing w:before="160" w:after="0"/>
      </w:pPr>
      <w:r>
        <w:rPr>
          <w:rFonts w:ascii="Calibri" w:hAnsi="Calibri" w:eastAsia="Calibri"/>
          <w:b/>
          <w:color w:val="142038"/>
          <w:sz w:val="22"/>
        </w:rPr>
        <w:t>Jubilant HollisterStier | Spokane, WA (On-Site)</w:t>
      </w:r>
      <w:r>
        <w:rPr>
          <w:rFonts w:ascii="Calibri" w:hAnsi="Calibri" w:eastAsia="Calibri"/>
          <w:b/>
          <w:color w:val="142038"/>
          <w:sz w:val="21"/>
        </w:rPr>
        <w:tab/>
        <w:t>Jun 2026 – Present</w:t>
      </w:r>
    </w:p>
    <w:p>
      <w:pPr>
        <w:spacing w:after="40"/>
      </w:pPr>
      <w:r>
        <w:rPr>
          <w:rFonts w:ascii="Calibri" w:hAnsi="Calibri" w:eastAsia="Calibri"/>
          <w:b w:val="0"/>
          <w:color w:val="1C2026"/>
          <w:sz w:val="21"/>
        </w:rPr>
        <w:t>Automation Engineer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Develop custom Ignition SCADA modules using Python and JavaScript scripting to automate data processing from vision sensors and generate dynamic operator dashboards for real-time plant monitoring.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Design and implement an automated quality control system integrating Rockwell PLCs with AVEVA SCADA for centralized monitoring and real-time visualization of inspection metrics.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Direct the integration, programming, and troubleshooting of control systems with sterile fill-finish lines, managing automated workflows across laboratory and pharmaceutical manufacturing environments.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Configure and validate ODBC and DSN connectivity between OT applications and SQL Server databases to support Environmental Monitoring Systems (EMS) and OT data capture on filling lines.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Integrate automation systems with SQL Server databases for production data logging, compliance reporting, and Manufacturing Execution System (MES) transactions while executing structured system risk assessments.</w:t>
      </w:r>
    </w:p>
    <w:p>
      <w:pPr>
        <w:tabs>
          <w:tab w:pos="10224" w:val="right"/>
        </w:tabs>
        <w:spacing w:before="160" w:after="0"/>
      </w:pPr>
      <w:r>
        <w:rPr>
          <w:rFonts w:ascii="Calibri" w:hAnsi="Calibri" w:eastAsia="Calibri"/>
          <w:b/>
          <w:color w:val="142038"/>
          <w:sz w:val="22"/>
        </w:rPr>
        <w:t>Source Sphere LLC | Edison, NJ (Hybrid)</w:t>
      </w:r>
      <w:r>
        <w:rPr>
          <w:rFonts w:ascii="Calibri" w:hAnsi="Calibri" w:eastAsia="Calibri"/>
          <w:b/>
          <w:color w:val="142038"/>
          <w:sz w:val="21"/>
        </w:rPr>
        <w:tab/>
        <w:t>Nov 2025 – Jun 2026</w:t>
      </w:r>
    </w:p>
    <w:p>
      <w:pPr>
        <w:spacing w:after="40"/>
      </w:pPr>
      <w:r>
        <w:rPr>
          <w:rFonts w:ascii="Calibri" w:hAnsi="Calibri" w:eastAsia="Calibri"/>
          <w:b w:val="0"/>
          <w:color w:val="1C2026"/>
          <w:sz w:val="21"/>
        </w:rPr>
        <w:t>Software Engineer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Architected, developed, and deployed scalable Java-based applications and microservices using Spring Boot and Hibernate, seamlessly linking core CS algorithms with resilient IT infrastructure.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Designed and integrated high-performance RESTful and SOAP-based web services to optimize application communication and ensure smooth UI integration with frontend engineering teams.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Managed end-to-end data modeling, schema design, and complex query development utilizing MySQL, PostgreSQL, and MongoDB, maintaining strict data integrity and performance standards.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Drove continuous integration and deployment (CI/CD) workflows by contributing to automated pipelines using Jenkins, Git, and Docker across AWS and Azure cloud platforms.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Guided the full Software Development Lifecycle (SDLC), ensuring code reliability through JUnit and Mockito unit testing, conducting peer code reviews, and optimizing performance via caching and code tuning.</w:t>
      </w:r>
    </w:p>
    <w:p>
      <w:pPr>
        <w:tabs>
          <w:tab w:pos="10224" w:val="right"/>
        </w:tabs>
        <w:spacing w:before="160" w:after="0"/>
      </w:pPr>
      <w:r>
        <w:rPr>
          <w:rFonts w:ascii="Calibri" w:hAnsi="Calibri" w:eastAsia="Calibri"/>
          <w:b/>
          <w:color w:val="142038"/>
          <w:sz w:val="22"/>
        </w:rPr>
        <w:t>Andhra Pradesh State Skill Development Corporation (APSSDC) | Andhra Pradesh, India</w:t>
      </w:r>
      <w:r>
        <w:rPr>
          <w:rFonts w:ascii="Calibri" w:hAnsi="Calibri" w:eastAsia="Calibri"/>
          <w:b/>
          <w:color w:val="142038"/>
          <w:sz w:val="21"/>
        </w:rPr>
        <w:tab/>
        <w:t>Apr 2019 – Apr 2020</w:t>
      </w:r>
    </w:p>
    <w:p>
      <w:pPr>
        <w:spacing w:after="40"/>
      </w:pPr>
      <w:r>
        <w:rPr>
          <w:rFonts w:ascii="Calibri" w:hAnsi="Calibri" w:eastAsia="Calibri"/>
          <w:b w:val="0"/>
          <w:color w:val="1C2026"/>
          <w:sz w:val="21"/>
        </w:rPr>
        <w:t>Intern – Industrial Automation &amp; Controls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Gained hands-on exposure to core manufacturing industry ecosystems, industrial automation workflows, embedded microcontrollers, and production line lifecycles.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Developed a foundational understanding of industrial control logic, including how Programmable Logic Controllers (PLCs) interface with supervisory software architectures to manage plant floor equipment.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Studied manufacturing documentation standards, safety regulations, and data tracking methods used to ensure precision, structural reliability, and operational continuity in fast-paced production environments.</w:t>
      </w:r>
    </w:p>
    <w:p>
      <w:pPr>
        <w:pStyle w:val="ListBullet"/>
        <w:spacing w:after="40"/>
        <w:ind w:left="360"/>
      </w:pPr>
      <w:r>
        <w:rPr>
          <w:rFonts w:ascii="Calibri" w:hAnsi="Calibri" w:eastAsia="Calibri"/>
          <w:b w:val="0"/>
          <w:color w:val="1C2026"/>
          <w:sz w:val="20"/>
        </w:rPr>
        <w:t>Participated in cross-functional technical workshops aimed at deploying hardware-software integrations, sharpening troubleshooting, technical analysis, and systems validation capabilities.</w:t>
      </w:r>
    </w:p>
    <w:p>
      <w:pPr>
        <w:spacing w:before="200" w:after="40"/>
        <w:pBdr>
          <w:bottom w:val="single" w:sz="8" w:space="1" w:color="283852"/>
        </w:pBdr>
      </w:pPr>
      <w:r>
        <w:rPr>
          <w:rFonts w:ascii="Calibri" w:hAnsi="Calibri" w:eastAsia="Calibri"/>
          <w:b/>
          <w:color w:val="142038"/>
          <w:sz w:val="24"/>
        </w:rPr>
        <w:t>Education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 w:eastAsia="Calibri"/>
          <w:b/>
          <w:color w:val="142038"/>
          <w:sz w:val="22"/>
        </w:rPr>
        <w:t>Master of Science (M.S.) in Computer Science</w:t>
      </w:r>
      <w:r>
        <w:rPr>
          <w:rFonts w:ascii="Calibri" w:hAnsi="Calibri" w:eastAsia="Calibri"/>
          <w:b/>
          <w:color w:val="142038"/>
          <w:sz w:val="20"/>
        </w:rPr>
        <w:tab/>
        <w:t>Sep 2023 – May 2025</w:t>
      </w:r>
    </w:p>
    <w:p>
      <w:r>
        <w:rPr>
          <w:rFonts w:ascii="Calibri" w:hAnsi="Calibri" w:eastAsia="Calibri"/>
          <w:b w:val="0"/>
          <w:color w:val="1C2026"/>
          <w:sz w:val="21"/>
        </w:rPr>
        <w:t>Pace University – Seidenberg School of CS &amp; IS, New York, NY (GPA: 3.55 / 4.0)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