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969.9600219726562" w:right="952.3748779296875" w:firstLine="0"/>
        <w:jc w:val="center"/>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Pr>
        <w:sectPr>
          <w:pgSz w:h="16840" w:w="11900" w:orient="portrait"/>
          <w:pgMar w:bottom="1149.5999908447266" w:top="470.399169921875" w:left="895.3199768066406" w:right="840.5932617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RIVEN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ELANOMA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ETECTION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SING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ONVOLUTIONAL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EURAL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ETWORK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22265625" w:line="231.9072675704956" w:lineRule="auto"/>
        <w:ind w:left="0" w:right="514.280090332031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Dr.M.Purushotham Reddy  Dept of CSE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31.9072675704956" w:lineRule="auto"/>
        <w:ind w:left="198.23997497558594" w:right="451.879882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(Artificial Intelligence &amp;  Machine 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31.9072675704956" w:lineRule="auto"/>
        <w:ind w:left="200.03990173339844" w:right="460.6799316406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Institute of Aeronautical  Engineering,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454.6199798583984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Hyderabad, India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244140625" w:line="240" w:lineRule="auto"/>
        <w:ind w:left="0" w:right="510.2001953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Sunkari Pavani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940185546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Dept of CSE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25760650635" w:lineRule="auto"/>
        <w:ind w:left="438.76007080078125" w:right="211.2805175781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(Artificial Intelligence &amp;  Machine Learning)  Institute of Aeronautical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40" w:lineRule="auto"/>
        <w:ind w:left="0" w:right="518.9001464843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Hyderabad, India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244140625" w:line="240" w:lineRule="auto"/>
        <w:ind w:left="0" w:right="609.280395507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Priya Gill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14001464843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Dept of CSE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25760650635" w:lineRule="auto"/>
        <w:ind w:left="544.7601318359375" w:right="94.11987304687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(Artificial Intelligence &amp;  Machine Learning)  Institute of Aeronautical  Engineering,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40" w:lineRule="auto"/>
        <w:ind w:left="0" w:right="405.700073242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Hyderabad, India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14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Pabba Saketh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3395996093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Dept of CSE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25760650635" w:lineRule="auto"/>
        <w:ind w:left="629.3597412109375" w:right="20.2795410156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(Artificial Intelligence &amp;  Machine Learning)  Institute of Aeronautical  Engineering,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40" w:lineRule="auto"/>
        <w:ind w:left="0" w:right="328.300781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40" w:w="11900" w:orient="portrait"/>
          <w:pgMar w:bottom="1149.5999908447266" w:top="470.399169921875" w:left="917.2800445556641" w:right="1162.999267578125" w:header="0" w:footer="720"/>
          <w:cols w:equalWidth="0" w:num="4">
            <w:col w:space="0" w:w="2460"/>
            <w:col w:space="0" w:w="2460"/>
            <w:col w:space="0" w:w="2460"/>
            <w:col w:space="0" w:w="2460"/>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Hyderabad, India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404296875" w:line="230.44110774993896" w:lineRule="auto"/>
        <w:ind w:left="14.760055541992188" w:right="170.479736328125" w:firstLine="259.319915771484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research paper introduces an enhanced deep  learning-based approach for melanoma skin cancer  classification using dermatoscopic images. This approach  introduces the enhanced model by integrating four  convolutional neural network models Custom baseline CNN,  ResNet50, DenseNet121, and MobileNetV2 within a meta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521484375" w:line="229.8567295074463" w:lineRule="auto"/>
        <w:ind w:left="14.760055541992188" w:right="170.419921875" w:firstLine="1.6199493408203125"/>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ensemble framework which effectively distinguish between  benign and malignant lesions. This models were trained on a  publicly available dataset, which was subjected to rigorous  preprocessing steps with including image resizing,  normalization, and augmentation to enhance learning efficiency  and generalization. Every model was fine-tuned and evaluated  separately, and their prediction probabilities were aggregated  using a soft voting mechanism followed by a meta-ensemble  model to achieve robust final classification. This methodology  leverages the immense strengths of diverse CNN architectures,  which offers improved stability and accuracy in skin lesion  classification. Our proposed system illustrates the potential of  ensemble learning in advancing image-based melanoma  diagnosis and fostering AI-enhanced healthcare systems.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476806640625" w:line="230.13004302978516" w:lineRule="auto"/>
        <w:ind w:left="0" w:right="175.399169921875" w:firstLine="282.36000061035156"/>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Melanoma Detection, Dermoscopic Image  Analysis, Convolutional Neural Network (CNN), Ensemble Meta Model, Transfer Learning, ResNet50, DenseNet121,  MobileNetV2, Data Augmentation, Soft Voting.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2919921875" w:line="240" w:lineRule="auto"/>
        <w:ind w:left="1667.065582275390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NTRODUCTION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19.31576251983643" w:lineRule="auto"/>
        <w:ind w:left="12.876052856445312" w:right="164.91943359375" w:firstLine="295.850372314453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Skin cancer is one of the most frequently diagnosed cancer  globally and the melanoma being the most severe and  potentially fatal variant which Early diagnosis of melanoma  substantially improves efficacy and survival rates of humans.  whereas diagnostic methods predominately rely on visual  evaluation and dermoscopic interpretation by the  dermatologists, which may heavily involve subjectivity and  human oversight. This calls for an automated, intelligent  solution which can assist healthcare professionals in  predicting accurate and timely melanoma diagnosis. With all  the advancements of artificial Intelligence (AI) and deep  learning (DL), image-based classification techniques emerged  into powerful tools in medical diagnostics. Convolutional  Neural Networks (CNNs), is particularly, demonstrates the  exceptional performance in analyzing skin lesion images due  to its ability to learn and capture the spatial hierarchies of  features. This research paper demonstrated an enhanced  ensemble meta-model approach for melanoma classification  using dermoscopic images where the proposed system  integrates four deep learning models a custom-designed CNN,  ResNet50, DenseNet121 and MobileNetV2 to enhance the  individual strengths of each architecture to enhanced  performance and robustness. The meta-ensemble strategy  combines the predictions from all four models, thereby  reducing the variance and increasing the generalization  capability of the system. The clean, balanced dataset of  melanoma and benign skin images was preprocessed and used  to train each model. Extensive experiments were conducted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460018157959" w:lineRule="auto"/>
        <w:ind w:left="143.8763427734375" w:right="30.93505859375" w:firstLine="4.78088378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on every model to evaluate the performance of individual  models and the ensemble meta-model. The results  demonstrated that the ensemble method significantly  outperformed individual models in terms of accuracy,  precision, recall and F1-score.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22265625" w:line="219.21050548553467" w:lineRule="auto"/>
        <w:ind w:left="143.8763427734375" w:right="24.713134765625" w:firstLine="293.776855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Our study integrates the effectiveness of an meta ensemble  deep learning approach for melanoma detection by integrating  multiple powerful models—Custom baseline CNN,  ResNet50, DenseNet121, and MobileNetV2—to enhance  diagnostic accuracy results and robustness of the model .The  primary objective of this projects is to develop a reliable and  interpretable melanoma classification system that leverages  the complementary strengths of different architectures to  reduce false predictions and enhance overall performance.  This mainly emphasis on the automated system which is  designed to assist dermatologists by providing consistent and  precise analysis of skin lesion images, thereby it also supports  the clinical decision-making. Additionally, this project  focuses on building a advanced,enhanced, scalable framework  where that can be furtherly refined and adapted for future  research and practical applications in medical imaging.  Through this work, we aim to contribute our project in early  detection efforts and also to improve patient outcomes by  harnessing advanced deep learning techniques in melanoma  diagnosis.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8896484375" w:line="240" w:lineRule="auto"/>
        <w:ind w:left="1519.265747070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 L</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ITERATURE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URVEY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19.42222118377686" w:lineRule="auto"/>
        <w:ind w:left="143.8763427734375" w:right="24.981689453125" w:firstLine="289.39392089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Extensive research has been conducted in automated  melanoma classification using deep learning techniques. The  growing availability of dermoscopic image datasets has  accelerated the development and evaluation of diverse  convolutional neural network (CNN) models and transfer  learning frameworks for skin lesion classification. While  individual CNNs deliver promising results, recent studies  underscore the benefits of ensemble learning to improve  diagnostic reliability, generalization, and robustness. This  literature survey reviews key recent contributions,  emphasizing their relevance to our project. Nawaz et al.  recently developed an enhanced CNN-based model, the  FCDS-CNN, which not only detects melanoma with high  accuracy but also offers potential therapeutic and diagnostic  applications, representing a leap forward in model design  tailored for clinical requirements. Complementing this, Yap  and Tan provided a comprehensive survey of deep learning  models specifically targeting melanoma detection,  emphasizing transfer learning frameworks. Their survey  demonstrates how fine-tuning pre-trained architectures like  ResNet and DenseNet on well-curated dermoscopic datasets  enables faster convergence and improved classification  accuracy. Given the variable performance of individual  models across lesion types and datasets, recent literature  underlines ensemble learning as a powerful tool to enhance  robustness. Ali et al. proposed a multi-scale ensemble deep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0125694274902" w:lineRule="auto"/>
        <w:ind w:left="2.589569091796875" w:right="178.162841796875" w:firstLine="0.59761047363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learning architecture that integrates outputs from various  CNN models, mitigating overfitting and variance associated  with single models. Ajmal et al. further developed a multi level ensemble strategy combining CNNs with transfer  learning, achieving superior accuracy by incorporating  diverse feature representations. Wang et al. supported these  findings by demonstrating that data balancing and  augmentation techniques, paired with multi-model ensemble  methods, significantly improve classification consistency and  generalization, especially on imbalanced datasets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677734375" w:line="219.30301666259766" w:lineRule="auto"/>
        <w:ind w:left="0" w:right="177.623291015625" w:firstLine="290.8703613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critical enabler of deep learning research is the  availability of quality datasets. Tschandl et al. introduced the  HAM10000 dataset, one of the most comprehensive publicly  available dermoscopic image collections encompassing  various pigmented skin lesions. This dataset has become a  standard benchmark facilitating comparative evaluation of  new methods. Complementary to data advancements, Gessert  et al. designed CNN architectures incorporating patch-based  attention mechanisms and diagnosis-guided loss functions,  addressing the need for improved feature localization and  discriminative power — crucial for accurate melanoma  classification. Newer approaches explore integrating diverse  CNN models to optimize both performance and  computational efficiency. Nawaz et al. emphasized models  designed for diagnostic and therapeutic precision. Ajmal et  al. proposed ensemble architectures leveraging multiple  transfer learning models to balance complexity with accuracy  in melanoma detection. Wang et al. advanced data  augmentation strategies aligned with ensemble techniques to  boost classification robustness further While prior work has  laid a strong foundation for melanoma classification, several  challenges persist, including model generalization across  populations, computational efficiency, and robustness under  varying imaging conditions. Our project addresses these gaps  by developing an ensemble meta-model that combines the  strengths of Custom CNN, ResNet50, DenseNet121, and  MobileNetV2 architectures. Leveraging MobileNetV2’s  computational efficiency, DenseNet121’s deep connectivity,  and ResNet50’s residual learning, the ensemble enhances  diagnostic stability and accuracy beyond what single models  typically achieve.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24755859375" w:line="240" w:lineRule="auto"/>
        <w:ind w:left="1400.188064575195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III. P</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ROPOSED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ETHOD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6669921875" w:line="219.3775177001953" w:lineRule="auto"/>
        <w:ind w:left="0.398406982421875" w:right="177.40478515625" w:firstLine="290.8703613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study adopts a structured multi-phase methodology to  develop a reliable ensemble deep learning model for  melanoma classification using the dermoscopic images. The  pipeline is designed to ensure the dataset integrity and extract  discriminative features from quality dataset, and consistently  optimize model learning for reliable clinical support. The  ensemble combines four different powerful models especially  Custom CNN, ResNet50, DenseNet121, and MobileNetV2 to  capture characteristics of skin lesions and enhance the  classification performance. Every model contributes unique  architectural strengths, enabling the ensemble to detect both  subtle and prominent lesion features effectively. The complete  workflow, from data acquisition, training to evaluation, is  organized to improve generalizability and diagnostic  precision. The entire pipeline is summarized in Fig. 1.,  highlighting the systematic approach flow of the proposed  solution.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01.9545602798462" w:lineRule="auto"/>
        <w:ind w:left="132.33154296875" w:right="115.79833984375" w:firstLine="159.870605468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2979420" cy="56281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9420" cy="56281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1. Data Splitting for Model Training Pipeline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39404296875" w:line="219.35189723968506" w:lineRule="auto"/>
        <w:ind w:left="130.999755859375" w:right="39.59716796875" w:firstLine="290.3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robust and quality dataset is very crucial for the success  of any medical image classification system. In this project,  comprehensive preprocessing steps were under taken to  ensure the quality , relevance, and efficiency of the input data  before feeding it into the ensemble models. The dataset  consists of more than 10,000 labeled dermoscopic images,  which represents both benign and malignant (melanoma)  cases. It also includes diverse lesion types, skin tones, and  anatomical regions which supporting model generalization.  Labels were cleaned and also verified to ensure consistency  for supervised learning. All the images underwent a quality  check to remove low-resolution, corrupted, or mislabeled  samples. Duplicates were eliminated using hash comparison  to maintain dataset integrity and reduce noise. All the images  were resized uniformly into the 224 x 224 pixels, it is  compatible to match with the input requirements of the pre trained models (ResNet50, DenseNet121, MobileNetV2).  Pixel intensities were normalized between [0,1] ranges, and  color channel standardization was also applied using  ImageNet’s mean and standard deviation methods. This  preprocessing step ensures effective feature alignment for all  the models on large-scale natural image datasets. To enhance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1539058685303" w:lineRule="auto"/>
        <w:ind w:left="0" w:right="180.1214599609375" w:firstLine="5.17921447753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overall model robustness, the data augmentation techniques  which includes the random flips, rotations, zooms and overall  brightness adjustments were applied to the dataset. The  dataset was then split into different sets as 80% training and  20% validation sets using stratified sampling to maintain class  balance. In this study, deep feature extraction was performed  for all the four models: a Custom baseline CNN, ResNet50,  DenseNet121, and MobileNetV2. Each model automatically  learned spatial and textural patterns from dermoscopic images  without manual feature engineering. Pre-trained ImageNet  weights were used to initialize the models, to leverage transfer  learning for improving performance. For the meta ensemble  model the classification layers were removed, and features  were extracted from the penultimate layers of the models.  These feature vectors were then processed individually or  concatenated for the ensemble integration. This approach  ensures robustness, high-level representation of lesion  characteristics across different architectures. This study uses  distinct four CNN backbone architectures: Custom CNN,  ResNet50, DenseNet121, and MobileNetV2, all initialized  with ImageNet weights. These models are leverged to extract  hierarchical features which is essential for distinguishing  melanoma from benign skin lesions. ResNet50 which  employs residual connections, DenseNet121 promotes dense  connections for feature reuse, MobileNetV2 mainly focuses  on efficient through depth wise separable convolutions, and  the Custom CNN is designed for extracting domain specific  features of the dataset.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01806640625" w:line="219.30323123931885" w:lineRule="auto"/>
        <w:ind w:left="0.398406982421875" w:right="179.464111328125" w:firstLine="290.8703613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improve classification model performance, an  ensemble meta-model which integrates the strengths of the  individual backbone architectures. Features are extracted from  each CNN’s penultimate layer which undergo global average  pooling and it also concatenated into a unified feature vector.  This vector is then passed through fully connected layers with  ReLU activations and dropout the regularization to mitigate  overfitting. The meta-model’s final classification layer uses a  softmax activation to generate output probabilities for benign  and malignant classes. This ensemble strategy overall reduces  prediction variance and improves robustness by combining  complementary feature representations of all the models. All  models in the meta ensemble model were trained using the  categorical cross-entropy loss function, which is well  employed for the binary melanoma classification task. To  ensure balanced learning of the models, stratified data splits  were employed, preserving the proportion of benign and  malignant cases in both training and validation sets.  Additionally, to improve the generalization and to reduce risk  of overfitting extensive data augmentation techniques such as  rotation, flipping and brightness adjustments were integrated  into the input pipeline. The training process utilized the Adam  optimizer for its adaptive learning rates capabilities, early  stopping mechanisms which carefully prevent from excessive  training time and mitigate overfitting of the models.  Additionally, Batch normalization and dropout layers were  applied to implement convergence and dropout layers were  applied to implement convergence and model robustness. This  comprehensive training strategy helped to consistent stable  and reliable performance across all constituent models within  the ensemble.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187744140625" w:line="219.8919439315796" w:lineRule="auto"/>
        <w:ind w:left="0" w:right="180.63903808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models were trained using the categorical cross entropy loss function, which is very appropriate for the binary  classification task of distinguishing the melanoma from  benign skin lesions. To optimize and to update the network  weights effectively, the Adam optimizer has been selected for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991542816162" w:lineRule="auto"/>
        <w:ind w:left="130.999755859375" w:right="37.38037109375" w:firstLine="2.58972167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its dynamic learning rate capabilities, which also improve  more stable convergence speed and stability during the  training. To improve the generalization and to reduce the risk  of overfitting, dropout layers were systematically  incorporated within the network architectures. Furthermore,  the batch normalization was applied as intermediate layers to  employ the learning process by regulating activation  distributions and thereby accelerating convergence. Learning  rate scheduling and early stopping techniques were to  optimize the model performance. A learning rate scheduler  was employed dynamically to adjust the learning rate  during training and it also starts with a higher rate and  gradually reducing it to fine-tune the models. Early stopping  monitored validation loss and terminated the training once the  performance plateaued, preventing from unnecessary epochs  and reducing overfitting risks of the models. The  effectiveness of the melanoma classification models was  evaluated based on the several key evaluation metrics, which  include the following: Accuracy: It will represent the  proposition of correctly predicted samples out of the total  number of images in the dataset, Precision: It measures the  accuracy of positive melanoma predictions among all the positive predictions, indicating reliability in identifying the  melanoma cases, Recall: It Asseses the model’s ability to  correctly identify all actual melanoma cases, which play a  vital role the minimize the risk of undetected malignancies,  F1-Score: Combines precision and recall into single metric  which uses their harmonic mean providing a balanced metric  that accounts for model performance, Confusion Matrix: It  comprehensive view of prediction outcomes by detailed  breakdown of the true positive, true negatives, false positives  and false negatives, enabling through error analysis.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5625" w:line="219.29696559906006" w:lineRule="auto"/>
        <w:ind w:left="131.3983154296875" w:right="39.393310546875" w:firstLine="290.39001464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enhance diagnostic accuracy and model stability, the  features are extracted from the Custom baseline CNN,  ResNet50, DenseNet121, and MobileNetV2 and were  integrated using an ensemble meta-model approach. Where  Each model’s output from the penultimate layer underwent  global average pooling, and the resulting feature vectors were  concatenated to form a unified representation. This combined  vector is a unified vector was passed through a series of fully  connected layers utilizing ReLU activation and dropout  regularization. The final classification was made by using a  softmax layer that provides output as the probability of each  class—melanoma or benign. By leveraging the  complementary strengths of diverse architectures, this meta  ensemble strategy minimized model bias and variance,  ultimately yielding improved consistency and reliability in  melanoma detection. All model training and evaluation tasks  were conducted within the Kaggle Notebook environment,  Utilizing GPU acceleration to manage the computational  demands of deep learning. The project was implemented  relied on TensorFlow and its high-level Keras API, allowing  for flexible and modular model development. Pre-trained  weights from ImageNet were utilized for ResNet50,  DenseNet121, and MobileNetV2 via keras.applications, while  a Custom baseline CNN was architected specifically designed  for the melanoma dataset. Image preprocessing,  augmentation, and real-time data feeding were managed by  using the ImageDataGenerator. Throughout the experiments,  training progress and evaluation metrics were visualized  within Kaggle.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89566040039"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IV. 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ESULTS 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ISCUSSION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19.2156982421875" w:lineRule="auto"/>
        <w:ind w:left="0" w:right="181.2030029296875" w:firstLine="290.8703613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evaluate the performance of our melanoma  classification framework, we have conducted a quantitative  comparison between each individual models (Custom CNN,  ResNet50, DenseNet121, and MobileNetV2) and the  proposed ensemble meta-model. The evaluation was  performed on the validation set using standard performance  metrics including the accuracy, precision, recall and F1- Score.These metrics collectively provide a holistic view of  each model’s ability to differentiate between benign and  malignant skin lesions. All models were trained under  identical experimental conditions, where we utilize using a  same preprocessing pipeline and balanced train-validation  data splits. This ensured comparison across all architectures.  The evaluation outcomes of this evaluation are summarized  in Table 1, which highlights the standalone of the ensemble  approach.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833984375" w:line="219.1889762878418" w:lineRule="auto"/>
        <w:ind w:left="720.4799652099609" w:right="178.560791015625" w:hanging="350.6375885009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Custom CNN: This model designed  computationally efficient and tailored for domain specific features, it exhibited slightly the lower  performance, with the accuracy of 0.84 and an F1- score of 0.83. This reflects its limited depth and  limited feature extraction capacity compared to pre trained architectures.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103515625" w:line="219.18960571289062" w:lineRule="auto"/>
        <w:ind w:left="722.6712799072266" w:right="179.04296875" w:hanging="352.828903198242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ResNet50: It leveraging deep residual learning and  skip connections, ResNet50 showed notable  improvements in the classification the accuracy  (0.91) and F1-score (0.91). The residual blocks  allowed it to preserve the spatial hierarchies  identifying lesion boundary analysis.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68115234375" w:line="219.25642490386963" w:lineRule="auto"/>
        <w:ind w:left="369.8423767089844" w:right="178.37829589843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DenseNet121: This model demonstrated among the  individual models, it is one of the highest single model performances, achieving an accuracy of 0.86  and F1-Score of 0.86. Its dense connectivity  structure facilitated feature reuse and stronger  gradient flow, making it highly suitable for the  complex tasks of medical image classification.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126953125" w:line="219.18954849243164" w:lineRule="auto"/>
        <w:ind w:left="721.8744659423828" w:right="185.6072998046875" w:hanging="352.0320892333984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MobileNetV2: Known for its computational  efficiency architecture and efficient depth wise  separable convolutions, MobileNetV2 achieved an  accuracy of 0.91, with minimal computational  overhead. It is favorable for mobile and edge based  deployment slightly less accurate than Dense  Net121.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68115234375" w:line="220.19300937652588" w:lineRule="auto"/>
        <w:ind w:left="720.4799652099609" w:right="183.42041015625" w:hanging="350.637588500976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Ensemble Meta-Model: This proposed ensemble  model approach outperformed all individual  architectures, in achieving an accuracy of 0.88,  precision of 0.88, recall of 0.88, an F1-Score of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35205078125" w:line="219.1892910003662" w:lineRule="auto"/>
        <w:ind w:left="722.6712799072266" w:right="180.7781982421875" w:firstLine="1.5934753417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0.88. These performance gain highlights the  improvements of integrating the strengths of all  model fusion, where the feature representations  from different networks are aggregated to reduce the  overall prediction bias and variance.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0614013671875" w:line="240" w:lineRule="auto"/>
        <w:ind w:left="352.61756896972656" w:right="0" w:firstLine="0"/>
        <w:jc w:val="left"/>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TABLE I. C</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LASSIFICATION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ETRICS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ODELS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ER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LASS </w:t>
      </w:r>
    </w:p>
    <w:tbl>
      <w:tblPr>
        <w:tblStyle w:val="Table1"/>
        <w:tblW w:w="4739.000244140625" w:type="dxa"/>
        <w:jc w:val="left"/>
        <w:tblInd w:w="66.203994750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5999755859375"/>
        <w:gridCol w:w="866.400146484375"/>
        <w:gridCol w:w="864.5999145507812"/>
        <w:gridCol w:w="784.7998046875"/>
        <w:gridCol w:w="787.6004028320312"/>
        <w:tblGridChange w:id="0">
          <w:tblGrid>
            <w:gridCol w:w="1435.5999755859375"/>
            <w:gridCol w:w="866.400146484375"/>
            <w:gridCol w:w="864.5999145507812"/>
            <w:gridCol w:w="784.7998046875"/>
            <w:gridCol w:w="787.6004028320312"/>
          </w:tblGrid>
        </w:tblGridChange>
      </w:tblGrid>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8771362304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10066223145" w:lineRule="auto"/>
              <w:ind w:left="120.78720092773438" w:right="17.13836669921875" w:hanging="1.3945007324218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Accurac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10066223145" w:lineRule="auto"/>
              <w:ind w:left="73.38714599609375" w:right="115.725402832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Precisio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F1-Score</w:t>
            </w:r>
          </w:p>
        </w:tc>
      </w:tr>
      <w:tr>
        <w:trPr>
          <w:cantSplit w:val="0"/>
          <w:trHeight w:val="37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Custom CNN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676269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5542602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0.83</w:t>
            </w:r>
          </w:p>
        </w:tc>
      </w:tr>
      <w:tr>
        <w:trPr>
          <w:cantSplit w:val="0"/>
          <w:trHeight w:val="36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20812988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ResNet50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676269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3543701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0.91</w:t>
            </w:r>
          </w:p>
        </w:tc>
      </w:tr>
      <w:tr>
        <w:trPr>
          <w:cantSplit w:val="0"/>
          <w:trHeight w:val="37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DenseNet121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676269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5542602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0.86</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736.2005615234375" w:type="dxa"/>
        <w:jc w:val="left"/>
        <w:tblInd w:w="197.2039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2001953125"/>
        <w:gridCol w:w="867.0001220703125"/>
        <w:gridCol w:w="863.9996337890625"/>
        <w:gridCol w:w="782.80029296875"/>
        <w:gridCol w:w="787.2003173828125"/>
        <w:tblGridChange w:id="0">
          <w:tblGrid>
            <w:gridCol w:w="1435.2001953125"/>
            <w:gridCol w:w="867.0001220703125"/>
            <w:gridCol w:w="863.9996337890625"/>
            <w:gridCol w:w="782.80029296875"/>
            <w:gridCol w:w="787.2003173828125"/>
          </w:tblGrid>
        </w:tblGridChange>
      </w:tblGrid>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MobileNetV2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9814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15405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0.86</w:t>
            </w:r>
          </w:p>
        </w:tc>
      </w:tr>
      <w:tr>
        <w:trPr>
          <w:cantSplit w:val="0"/>
          <w:trHeight w:val="4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18457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Meta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3312988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9814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15405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0.88</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952974319458" w:lineRule="auto"/>
        <w:ind w:left="133.1915283203125" w:right="47.529296875" w:firstLine="288.19885253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quantitative analysis confirms that meta ensemble  model is a robust strategy for complex tasks like melanoma  classification. It effectively captures the fine-grained lesion  features and it enhances generalization, making it suitable for  deployment.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7958984375" w:line="219.96302604675293" w:lineRule="auto"/>
        <w:ind w:left="132.593994140625" w:right="46.0205078125" w:firstLine="288.79638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gain deeper insights into the diagnostic performance  the classification behavior of the proposed ensemble meta model, we employed a confusion matrix, which provides  insight into the model’s ability to correctly classify benign  and malignant lesions. The confusion matrix displayed in Fig. 2. summarizes the number of true positives(TP), true  negatives(TN), false positives(FP), and false negatives (FN)  on the validation data.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64306640625" w:line="204.53989505767822" w:lineRule="auto"/>
        <w:ind w:left="131.93359375" w:right="178.59619140625" w:firstLine="63.8708496093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000756" cy="214884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0756" cy="2148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2. Confusion Matrix-Meta-Ensemble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95703125" w:line="240" w:lineRule="auto"/>
        <w:ind w:left="420.3942871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the matrix, we observe the following: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38623046875" w:line="219.18954849243164" w:lineRule="auto"/>
        <w:ind w:left="851.796875" w:right="46.47705078125" w:hanging="351.434326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True Positives (TP): The ensemble model  correctly depicts the majority of malignant  melanoma cases, which is very crucial for clinical  use, as missing a melanoma diagnosis can have  severe consequences.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6298828125" w:line="219.99250888824463" w:lineRule="auto"/>
        <w:ind w:left="851.0003662109375" w:right="48.668212890625" w:hanging="350.63781738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Low False Negatives (FN): The relatively less  number of malignant cases misclassified as benign  which indicates the model’s strong sensitivity and  recall—essential metrics in medical diagnostics.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396728515625" w:line="219.1893196105957" w:lineRule="auto"/>
        <w:ind w:left="851.796875" w:right="37.830810546875" w:hanging="351.434326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Moderate False Positives (FP): A few benign lesions  were misclassified as malignant While may lead to  unnecessary biopsies, it is generally acceptable  compared to the risk of missing melanoma cases.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6201171875" w:line="219.18921947479248" w:lineRule="auto"/>
        <w:ind w:left="854.984130859375" w:right="44.8828125" w:hanging="354.6215820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True Negatives (TN): The model reliably  classified most benign samples, reinforcing its  overall balance between in terms of sensitivity and  specificity.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0657958984375" w:line="219.65774059295654" w:lineRule="auto"/>
        <w:ind w:left="131.0003662109375" w:right="39.700927734375" w:firstLine="5.77697753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Overall, the confusion matrix analysis the quantitative metrics  presented earlier. The ensemble meta-model demonstrates not  only the high accuracy but also excellent clinical relevance,  with a strong ability to detect the melanoma while maintaining  a low rate of false alarms. This reinforces its practical viability  in assisting the dermatologists with early and reliable  melanoma detection.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05.70481777191162" w:lineRule="auto"/>
        <w:ind w:left="0.9336090087890625" w:right="260.1959228515625" w:firstLine="358.070373535156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2845308" cy="23393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45308" cy="23393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3. Test ROC-AUC Curve Comparision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21484375" w:line="219.21050548553467" w:lineRule="auto"/>
        <w:ind w:left="0" w:right="175.4022216796875" w:firstLine="290.8703613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further assess the diagnostic strength, to gain deeper  insights, and ability to distinguish between classes, we plotted  the Receiver Operating Characteristic (ROC) curv</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es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computed the Area Under the Curve (AUC) scores for all  individual models and the ensemble meta-model. These  metrics provide the insights into the trade-off between  sensitivity (true positive rate) and specificity (false positive  rate) across various classification thresholds. The ROC  (Receiver operating characteristic curve) visually represents  the relationship between True Positives Rate (TPR) against  the False Positive Rate (FPR) at across various decision  thresholds. A ideal model curve is closer to the top-left corner  indicates a better-performing model. The AUC (Area under  the curve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score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serves as quantitative measure with the values  ranging from 0 to 1, which indicates then model’s ability to  difference between the melanoma (malignant) and non melanoma (benign) classesin the model. A AUC of o.5 which  implies random guessing, while 1.0 denotes perfect  classification. Model-wise Observations from ROC and AUC  as shown in Fig. 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891845703125" w:line="221.5981149673462" w:lineRule="auto"/>
        <w:ind w:left="0" w:right="179.5782470703125" w:firstLine="54.98161315917969"/>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Custom CNN achieved an AUC of 0.949, which is  demonstrating good but it has slightly limited discriminative  power due to its relatively shallow architecture.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0791015625" w:line="219.18946266174316" w:lineRule="auto"/>
        <w:ind w:left="720.4799652099609" w:right="180.811767578125" w:hanging="350.637588500976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ResNet50 showcased significant improvement with  an AUC of 0.864</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which benefiting from its deep  residual blocks that preserve the critical lesion  features.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06787109375" w:line="219.18921947479248" w:lineRule="auto"/>
        <w:ind w:left="723.2688140869141" w:right="183.0584716796875" w:hanging="353.4264373779297"/>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DenseNet121, in which its densely connected layers,  achieved an AUC of 0.899, reflecting the excellent  ability to separate the melanoma from benign  lesions.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650634765625" w:line="219.1893196105957" w:lineRule="auto"/>
        <w:ind w:left="724.2647552490234" w:right="182.6507568359375" w:hanging="354.422378540039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MobileNetV2</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known for its efficiency and compact  design, but performed competitively with an AUC of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0.615</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proving its effectiveness even under  computational constraints.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062744140625" w:line="219.59076404571533" w:lineRule="auto"/>
        <w:ind w:left="0" w:right="176.0955810546875" w:firstLine="289.8743438720703"/>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Ensemble Meta-Model achieved the highest AUC Score  of 0.</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959</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which showcase the overall performance and the  advantage of combining multiple CNN architectures which  leads to a more balanced and generalized classifier and  enhances sensitivity and specificity. The ROC curves  distinctly highlight that the ensemble model dominates across  nearly all threshold values and maintaining higher true  positives rates at lower false positive rates.. This performance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9010620117188" w:lineRule="auto"/>
        <w:ind w:left="133.1915283203125" w:right="43.062744140625" w:firstLine="6.97204589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stability ensemble's robustness in handling real-world  classification uncertainty, especially important in sensitive  medical diagnostic scenarios like melanoma detection.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90625" w:line="230.80872058868408" w:lineRule="auto"/>
        <w:ind w:left="129.605712890625" w:right="40.238037109375" w:firstLine="3.78479003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ensemble meta-model achieved the better performance  compared to individual CNN architectures by effectively  leveraging the complementary strengths of each backbone  network. The Custom CNN, specifically tailored for the  dataset, which contributes the domain-specific feature  extraction but it also showed limited depth. ResNet50’s  capitalized on residual connections, helped to capture the  intricate lesion patterns and reducing gradient issues in deep  layers. DenseNet121’s dense connectivity facilitated the  efficient feature reuse across layers, and also improved the  generalization and robustness, Meanwhile, MobileNetV2  stood out for its lightweight architecture in delivering strong  accuracy with minimal computational demands. During  model training, all architectures exhibited stable learning with  the meta ensemble model which offers more consistent  prediction and reduced output. Augmentation strategies has  played a key role, also helped to mitigate overfitting and  evident from consistent validation accuracy and loss curves.  The use of these dropout layers and batch normalization  provided enhanced regularization, strengthening to model’s  behavior even when facing imbalanced class distributions.  Error analysis revealed that most misclassifications occurred  in the borderline or ambiguous images which reflecting the  inherent challenge in differentiating visually similar benign  and malignant lesions. Overall, the model behavior indicates  a well-balanced trade-off between sensitivity and specificity  and supporting the clinical relevance of the ensemble as a  reliable second opinion tool for melanoma detection.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621826171875" w:line="240" w:lineRule="auto"/>
        <w:ind w:left="1001.99157714843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 C</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ONCLUSION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UTURE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COPE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19.3262767791748" w:lineRule="auto"/>
        <w:ind w:left="131.0003662109375" w:right="42.093505859375" w:firstLine="290.5895996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this study we present a comprehensive ensemble deep  learning framework for automated melanoma classification, it  showcased significant advancements in diagnostic accuracy,  robustness, and clinical relevance. By integrating four  powerful distinct CNN architectures Custom CNN, ResNet50,  DenseNet121, and MobileNetV2 the proposed meta  architecture leverages their complementary strengths to  address the complex visual variations inherent in the  dermoscopic images. The meta ensemble approach not only  elevates the overall classification accuracy but also mitigates  individual model weaknesses which results to a more accurate  and reliable classification system. By applying thorough  preprocessing, augmentation, and careful model training on a  diverse dataset of over 10,000 skin lesion images, our  proposed system delivers high sensitivity and specificity, both  are critical factors for early melanoma detection. Our  quantitative evaluations, includes accuracy, precision, recall,  F1-Score and ROU-AUC metrics, consistently indicate that  the ensemble outperforms single models, underscoring its  potential as a valuable clinical decision support tool.  Furthermore, the robust behavior of the ensemble model in  handling ambiguous and challenging cases which highlights  its practical utility in real-world diagnostic workflows.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26513671875" w:line="219.7514247894287" w:lineRule="auto"/>
        <w:ind w:left="133.1915283203125" w:right="38.6962890625" w:firstLine="530.59875488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149.5999908447266" w:top="470.399169921875" w:left="895.3199768066406" w:right="829.393310546875" w:header="0" w:footer="720"/>
          <w:cols w:equalWidth="0" w:num="2">
            <w:col w:space="0" w:w="5100"/>
            <w:col w:space="0" w:w="510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study also emphasizes the importance of  combining state-of-the-art architectures with domain-specific  customization, which enables the model to learn  discriminative features pertinent to melanoma while  maintaining computational efficiency. Although the current  work focuses on the model development and evaluation, its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443941116333" w:lineRule="auto"/>
        <w:ind w:left="12.876052856445312" w:right="5223.0755615234375" w:firstLine="2.1911621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modular design lays the groundwork for future research in  interpretability, explainability and integration with  telemedicine platforms. Looking ahead, this ensemble  framework holds promise for the upcoming advancement by  integrating larger and more diverse datasets. Ultimately, this  study marks a meaningful step toward intelligent, automated  melanoma screening systems that can aid in early diagnosis  and better patient outcomes-especially in resource limited  setting where access to dermatology specialists is scarce.  Research contributes to potentially improve early detection  rates and patient outcomes, particularly in the resource constrained settings where specialist access is limited.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94775390625" w:line="240" w:lineRule="auto"/>
        <w:ind w:left="1580.0680541992188"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CKNOWLEDGEMENT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056640625" w:line="219.56528663635254" w:lineRule="auto"/>
        <w:ind w:left="15.26641845703125" w:right="5227.5994873046875" w:firstLine="288.479995727539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paper is the result of original research and includes  genuine data and analysis conducted by the authors. No  figures, tables, synthetic data, or AI-generated content were  created using artificial intelligence tools. However, AI tools  such as ChatGPT (OpenAI) and QuillBot were used solely  for language refinement, grammar correction, and clarity  enhancement across various sections of the manuscript.  These tools were not involved in content generation, analysis,  or interpretation.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939453125" w:line="240" w:lineRule="auto"/>
        <w:ind w:left="1930.8665466308594"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EFERENCES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3154296875" w:line="200.80849170684814" w:lineRule="auto"/>
        <w:ind w:left="364.68963623046875" w:right="5272.43896484375" w:hanging="339.183349609375"/>
        <w:jc w:val="both"/>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L. Zhang, Q. Zhou, and S. Yang, “Explainable vision transformers for skin cancer classification,”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Transactions on Medical Imaging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44, no. 1, pp. 78–88, 2025.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https://doi.org/10.1109/TMI.2024.3335123</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33740234375" w:line="202.5855016708374" w:lineRule="auto"/>
        <w:ind w:left="366.4344787597656" w:right="5270.1080322265625" w:hanging="338.52821350097656"/>
        <w:jc w:val="both"/>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J. Kim, et al., “Multimodal deep learning for skin cancer diagnosis: Integrating dermoscopy, metadata, and patient history,”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Nature Biomedical Engineering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2024.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https://doi.org/10.1038/s41551-024-01122-6</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126953125" w:line="201.8452262878418" w:lineRule="auto"/>
        <w:ind w:left="369.9720764160156" w:right="5267.4066162109375" w:hanging="342.06581115722656"/>
        <w:jc w:val="both"/>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 Zhang, et al., “Explainable AI for skin cancer classification: Integrating Grad-CAM with attention-based CNNs,”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Scientific Reports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13, 12456, 2023.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https://doi.org/10.1038/s41598-023-39547-7</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59814453125" w:line="202.5855016708374" w:lineRule="auto"/>
        <w:ind w:left="369.9720764160156" w:right="5270.7464599609375" w:hanging="342.06581115722656"/>
        <w:jc w:val="both"/>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 Ali, et al., “Multi-scale ensemble deep learning architecture for skin cancer detection,”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Computers in Biology and Medicine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147, 105768, 2022.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https://doi.org/10.1016/j.compbiomed.2022.105768</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107421875" w:line="200.80849170684814" w:lineRule="auto"/>
        <w:ind w:left="364.82643127441406" w:right="5272.0404052734375" w:hanging="336.920166015625"/>
        <w:jc w:val="left"/>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 Gessert, et al., “Skin lesion classification using CNNs with patch based attention and diagnosis-guided loss,”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Transactions on Medical Imaging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40, no. 5, pp. 1373–1383, 2021.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https://doi.org/10.1109/TMI.2020.3045924</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35693359375" w:line="202.5857162475586" w:lineRule="auto"/>
        <w:ind w:left="369.9720764160156" w:right="5269.8065185546875" w:hanging="342.06581115722656"/>
        <w:jc w:val="both"/>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 H. Yap and H. S. Tan, “Deep learning for melanoma detection in dermatoscopic images: A survey,”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Journal of Medical Imaging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7, no. 3, 123–132, 2020.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https://doi.org/10.1117/1.JMI.7.3.030901</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04638671875" w:line="201.91912651062012" w:lineRule="auto"/>
        <w:ind w:left="366.4344787597656" w:right="5249.7760009765625" w:hanging="338.52821350097656"/>
        <w:jc w:val="left"/>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 J. Brinker, et al., “Deep learning in dermatology: A critical appraisal of the state of the art,”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Journal of the American Academy of Dermatology</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80, no. 3, pp. 533–540, 2019.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https://doi.org/10.1016/j.jaad.2018.06.033</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074462890625" w:line="202.58560180664062" w:lineRule="auto"/>
        <w:ind w:left="369.9720764160156" w:right="5274.185791015625" w:hanging="342.06581115722656"/>
        <w:jc w:val="both"/>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 Tschandl, et al., “The HAM10000 dataset: A large collection of multi source dermatoscopic images of common pigmented skin lesions,”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Scientific Data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6, 1–9, 2018.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https://doi.org/10.1038/sdata.2018.161</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6591796875" w:line="207.30239868164062" w:lineRule="auto"/>
        <w:ind w:left="366.7560577392578" w:right="5272.86865234375" w:hanging="338.84979248046875"/>
        <w:jc w:val="left"/>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 Rajpurkar, et al., “Deep learning for chest radiograph diagnosis: A retrospective comparison of the CheXNeXt algorithm to radiologists,”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JAMA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320, no. 4, pp. 326–338, 2018.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https://doi.org/10.1001/jama.2018.11217</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03857421875" w:line="202.58560180664062" w:lineRule="auto"/>
        <w:ind w:left="369.9720764160156" w:right="5272.750244140625" w:hanging="342.06581115722656"/>
        <w:jc w:val="both"/>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 Esteva, B. Kuprel, R. A. Novoa, et al., “Dermatologist-level classification of skin cancer with deep neural networks,”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Nature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542, no. 7639, pp. 115–118, 2017. Available: </w:t>
      </w:r>
      <w:r w:rsidDel="00000000" w:rsidR="00000000" w:rsidRPr="00000000">
        <w:rPr>
          <w:rFonts w:ascii="Times New Roman" w:cs="Times New Roman" w:eastAsia="Times New Roman" w:hAnsi="Times New Roman"/>
          <w:b w:val="0"/>
          <w:i w:val="0"/>
          <w:smallCaps w:val="0"/>
          <w:strike w:val="0"/>
          <w:color w:val="0462c1"/>
          <w:sz w:val="16.079999923706055"/>
          <w:szCs w:val="16.079999923706055"/>
          <w:u w:val="single"/>
          <w:shd w:fill="auto" w:val="clear"/>
          <w:vertAlign w:val="baseline"/>
          <w:rtl w:val="0"/>
        </w:rPr>
        <w:t xml:space="preserve">https://doi.org/10.1038/nature21056</w:t>
      </w:r>
    </w:p>
    <w:sectPr>
      <w:type w:val="continuous"/>
      <w:pgSz w:h="16840" w:w="11900" w:orient="portrait"/>
      <w:pgMar w:bottom="1149.5999908447266" w:top="470.399169921875" w:left="895.3199768066406" w:right="840.59326171875" w:header="0" w:footer="720"/>
      <w:cols w:equalWidth="0" w:num="1">
        <w:col w:space="0" w:w="10164.08676147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