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7FCECB528541EA8D8B12CCC68954D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p w14:paraId="7A18F310" w14:textId="2E636B7F" w:rsidR="00C65F05" w:rsidRPr="00A30761" w:rsidRDefault="00A30761">
          <w:pPr>
            <w:pStyle w:val="Sinespaciado"/>
            <w:spacing w:before="480"/>
            <w:jc w:val="center"/>
            <w:rPr>
              <w:b/>
              <w:bCs/>
              <w:color w:val="4472C4" w:themeColor="accent1"/>
            </w:rPr>
          </w:pPr>
          <w:r w:rsidRPr="00A30761">
            <w:rPr>
              <w:b/>
              <w:bCs/>
              <w:color w:val="4472C4" w:themeColor="accent1"/>
              <w:sz w:val="28"/>
              <w:szCs w:val="28"/>
            </w:rPr>
            <w:t>PROCEDIMIENTO</w:t>
          </w:r>
          <w:r w:rsidRPr="00A30761">
            <w:rPr>
              <w:b/>
              <w:bCs/>
              <w:color w:val="4472C4" w:themeColor="accent1"/>
              <w:sz w:val="28"/>
              <w:szCs w:val="28"/>
            </w:rPr>
            <w:t xml:space="preserve"> </w:t>
          </w:r>
          <w:r w:rsidRPr="00A30761">
            <w:rPr>
              <w:b/>
              <w:bCs/>
              <w:color w:val="4472C4" w:themeColor="accent1"/>
              <w:sz w:val="28"/>
              <w:szCs w:val="28"/>
            </w:rPr>
            <w:t>TRATAMIENTO DE TARJETAS DE COBRO</w:t>
          </w: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639F7560" w14:textId="77777777" w:rsidR="00A30761" w:rsidRPr="00A30761" w:rsidRDefault="00A30761" w:rsidP="00A30761">
      <w:pPr>
        <w:rPr>
          <w:b/>
          <w:bCs/>
        </w:rPr>
      </w:pPr>
      <w:r>
        <w:rPr>
          <w:bCs/>
          <w:b/>
        </w:rPr>
        <w:t xml:space="preserve">1. Objetivo</w:t>
      </w:r>
    </w:p>
    <w:p w14:paraId="7766C893" w14:textId="77777777" w:rsidR="00A30761" w:rsidRDefault="00A30761" w:rsidP="00A30761">
      <w:r>
        <w:rPr>
          <w:bCs/>
        </w:rPr>
        <w:t xml:space="preserve">Establecer el proceso para identificar, validar y aplicar saldos a favor de clientes a sus próximas aportaciones, evitando pagos duplicados y garantizando el uso correcto de los recursos del cliente.</w:t>
      </w:r>
    </w:p>
    <w:p w14:paraId="6E6886EA" w14:textId="77777777" w:rsidR="00A30761" w:rsidRDefault="00A30761" w:rsidP="00A30761">
      <w:pPr>
        <w:rPr>
          <w:b/>
          <w:bCs/>
        </w:rPr>
      </w:pPr>
    </w:p>
    <w:p w14:paraId="03FA96C8" w14:textId="3F7E6153" w:rsidR="00A30761" w:rsidRPr="00A30761" w:rsidRDefault="00A30761" w:rsidP="00A30761">
      <w:pPr>
        <w:rPr>
          <w:b/>
          <w:bCs/>
        </w:rPr>
      </w:pPr>
      <w:r>
        <w:rPr>
          <w:bCs/>
          <w:b/>
        </w:rPr>
        <w:t xml:space="preserve">2. Alcance</w:t>
      </w:r>
    </w:p>
    <w:p w14:paraId="3F773572" w14:textId="77777777" w:rsidR="00A30761" w:rsidRDefault="00A30761" w:rsidP="00A30761">
      <w:r>
        <w:rPr>
          <w:bCs/>
        </w:rPr>
        <w:t xml:space="preserve">Aplica a todo el personal de Cobranza, Ventas y Administrativo que gestione saldos a favor provenientes de cancelaciones, ajustes, endosos o pagos en exceso.</w:t>
      </w:r>
    </w:p>
    <w:p w14:paraId="72F38DA8" w14:textId="77777777" w:rsidR="00A30761" w:rsidRDefault="00A30761" w:rsidP="00A30761">
      <w:pPr>
        <w:rPr>
          <w:b/>
          <w:bCs/>
        </w:rPr>
      </w:pPr>
    </w:p>
    <w:p w14:paraId="4966310F" w14:textId="3B0CBE76" w:rsidR="00A30761" w:rsidRPr="00A30761" w:rsidRDefault="00A30761" w:rsidP="00A30761">
      <w:pPr>
        <w:rPr>
          <w:b/>
          <w:bCs/>
        </w:rPr>
      </w:pPr>
      <w:r>
        <w:rPr>
          <w:bCs/>
          <w:b/>
        </w:rPr>
        <w:t xml:space="preserve">3. Responsables</w:t>
      </w:r>
    </w:p>
    <w:p w14:paraId="7074ECE1" w14:textId="77777777" w:rsidR="00A30761" w:rsidRDefault="00A30761" w:rsidP="00A30761">
      <w:r>
        <w:rPr>
          <w:bCs/>
        </w:rPr>
        <w:t xml:space="preserve">• Asistente de Cobranza.</w:t>
      </w:r>
    </w:p>
    <w:p w14:paraId="50B06B2C" w14:textId="77777777" w:rsidR="00A30761" w:rsidRDefault="00A30761" w:rsidP="00A30761">
      <w:r>
        <w:rPr>
          <w:bCs/>
        </w:rPr>
        <w:t xml:space="preserve">• Vendedor.</w:t>
      </w:r>
    </w:p>
    <w:p w14:paraId="1B0C6582" w14:textId="77777777" w:rsidR="00A30761" w:rsidRDefault="00A30761" w:rsidP="00A30761">
      <w:r>
        <w:rPr>
          <w:bCs/>
        </w:rPr>
        <w:t xml:space="preserve">• Cobrador.</w:t>
      </w:r>
    </w:p>
    <w:p w14:paraId="459EDCA1" w14:textId="77777777" w:rsidR="00A30761" w:rsidRDefault="00A30761" w:rsidP="00A30761">
      <w:r>
        <w:rPr>
          <w:bCs/>
        </w:rPr>
        <w:t xml:space="preserve">• Gerencia de Cobranza.</w:t>
      </w:r>
    </w:p>
    <w:p w14:paraId="619C6F84" w14:textId="77777777" w:rsidR="00A30761" w:rsidRDefault="00A30761" w:rsidP="00A30761">
      <w:pPr>
        <w:rPr>
          <w:b/>
          <w:bCs/>
        </w:rPr>
      </w:pPr>
    </w:p>
    <w:p w14:paraId="0CBF1FB0" w14:textId="048E493E" w:rsidR="00A30761" w:rsidRPr="00A30761" w:rsidRDefault="00A30761" w:rsidP="00A30761">
      <w:pPr>
        <w:rPr>
          <w:b/>
          <w:bCs/>
        </w:rPr>
      </w:pPr>
      <w:r>
        <w:rPr>
          <w:bCs/>
          <w:b/>
        </w:rPr>
        <w:t xml:space="preserve">4. Definiciones</w:t>
      </w:r>
    </w:p>
    <w:p w14:paraId="1B2F61CE" w14:textId="77777777" w:rsidR="00A30761" w:rsidRDefault="00A30761" w:rsidP="00A30761">
      <w:r>
        <w:rPr>
          <w:bCs/>
        </w:rPr>
        <w:t xml:space="preserve">• Saldo a favor: Monto positivo en la cuenta de un cliente que resulta de un pago en exceso, cancelación de póliza u otro ajuste.</w:t>
      </w:r>
    </w:p>
    <w:p w14:paraId="03C7DE87" w14:textId="77777777" w:rsidR="00A30761" w:rsidRDefault="00A30761" w:rsidP="00A30761">
      <w:r>
        <w:rPr>
          <w:bCs/>
        </w:rPr>
        <w:t xml:space="preserve">• Aplicación de saldo: Asignación deliberada de un saldo a favor al pago de una aportación futura.</w:t>
      </w:r>
    </w:p>
    <w:p w14:paraId="25B0877C" w14:textId="77777777" w:rsidR="00A30761" w:rsidRDefault="00A30761" w:rsidP="00A30761">
      <w:r>
        <w:rPr>
          <w:bCs/>
        </w:rPr>
        <w:t xml:space="preserve">• Cancelación: Finiquito de una póliza que genera saldo a favor para el cliente.</w:t>
      </w:r>
    </w:p>
    <w:p w14:paraId="2C0DF6F0" w14:textId="36CBF4AC" w:rsidR="00363080" w:rsidRDefault="00363080" w:rsidP="00A30761">
      <w:pPr>
        <w:rPr>
          <w:b/>
          <w:bCs/>
        </w:rPr>
      </w:pPr>
      <w:r>
        <w:rPr>
          <w:bCs/>
        </w:rPr>
        <w:t xml:space="preserve">• Endoso: Modificación a la póliza que puede generar ajustes en el monto de la aportación.</w:t>
      </w:r>
    </w:p>
    <w:p>
      <w:r>
        <w:rPr>
          <w:bCs/>
          <w:b/>
        </w:rPr>
        <w:t xml:space="preserve">5.- DESARROLLO</w:t>
      </w:r>
    </w:p>
    <w:p w14:paraId="50D55FEF" w14:textId="77777777" w:rsidR="00A30761" w:rsidRPr="00A30761" w:rsidRDefault="00A30761" w:rsidP="00A30761">
      <w:r w:rsidRPr="00A30761">
        <w:t>5. Procedimiento</w:t>
      </w:r>
    </w:p>
    <w:p>
      <w:r>
        <w:rPr>
          <w:bCs/>
          <w:b/>
        </w:rPr>
        <w:t xml:space="preserve">5.1 IDENTIFICACIÓN</w:t>
      </w:r>
    </w:p>
    <w:p>
      <w:r>
        <w:rPr>
          <w:bCs/>
        </w:rPr>
        <w:t xml:space="preserve">Revisar en CRM PROTEG-RT los movimientos del cliente. Identificar si existe saldo a favor por: pago en exceso, cancelación, endoso o ajuste contable. Si el saldo es mayor a $500, documentar y notificar a Gerencia antes de aplicar.</w:t>
      </w:r>
    </w:p>
    <w:p>
      <w:r>
        <w:rPr>
          <w:bCs/>
          <w:b/>
        </w:rPr>
        <w:t xml:space="preserve">5.2 VALIDACIÓN</w:t>
      </w:r>
    </w:p>
    <w:p>
      <w:r>
        <w:rPr>
          <w:bCs/>
        </w:rPr>
        <w:t xml:space="preserve">Verificar origen del saldo y confirmar que no exista proceso de devolución en curso. No aplicar hasta tener evidencia del origen y autorización de Gerencia si el monto excede $500.</w:t>
      </w:r>
    </w:p>
    <w:p>
      <w:r>
        <w:rPr>
          <w:bCs/>
          <w:b/>
        </w:rPr>
        <w:t xml:space="preserve">5.3 AUTORIZACIÓN</w:t>
      </w:r>
    </w:p>
    <w:p>
      <w:r>
        <w:rPr>
          <w:bCs/>
        </w:rPr>
        <w:t xml:space="preserve">Si el saldo a favor es mayor a $500, se requiere autorización escrita de Gerencia. Documentar en bitácora: fecha, monto, origen, cliente, vendedor/cobrador y decisión.</w:t>
      </w:r>
    </w:p>
    <w:p>
      <w:r>
        <w:rPr>
          <w:bCs/>
          <w:b/>
        </w:rPr>
        <w:t xml:space="preserve">5.4 APLICACIÓN EN SISTEMA</w:t>
      </w:r>
    </w:p>
    <w:p>
      <w:r>
        <w:rPr>
          <w:bCs/>
        </w:rPr>
        <w:t xml:space="preserve">Una vez validado: aplicar el saldo a favor a la próxima aportación del cliente en CRM PROTEG-RT. Registrar: fecha de aplicación, monto aplicado, остаток pendiente (si hay). No inventar datos: si el saldo no es verificable, no aplicar y notificar a Gerencia.</w:t>
      </w:r>
    </w:p>
    <w:p>
      <w:r>
        <w:rPr>
          <w:bCs/>
          <w:b/>
        </w:rPr>
        <w:t xml:space="preserve">5.5 NOTIFICACIÓN AL CLIENTE</w:t>
      </w:r>
    </w:p>
    <w:p>
      <w:r>
        <w:rPr>
          <w:bCs/>
        </w:rPr>
        <w:t xml:space="preserve">Comunicar al cliente la aplicación del saldo (monto y fecha). Si el cliente solicita la devolución en efectivo, escalar a Gerencia para decisión.</w:t>
      </w:r>
    </w:p>
    <w:p>
      <w:r>
        <w:rPr>
          <w:bCs/>
          <w:b/>
        </w:rPr>
        <w:t xml:space="preserve">5.6 CONFIRMACIÓN Y CIERRE</w:t>
      </w:r>
    </w:p>
    <w:p>
      <w:r>
        <w:rPr>
          <w:bCs/>
        </w:rPr>
        <w:t xml:space="preserve">Actualizar el registro del cliente. Archivar evidencia de la aplicación. Si queda остаток pendiente, informar al cliente su nueva fecha de vencimiento.</w:t>
      </w:r>
    </w:p>
    <w:p>
      <w:r>
        <w:rPr>
          <w:bCs/>
          <w:b/>
        </w:rPr>
        <w:t xml:space="preserve">REGLAS DE CONTROL:</w:t>
      </w:r>
    </w:p>
    <w:p>
      <w:r>
        <w:rPr>
          <w:bCs/>
        </w:rPr>
        <w:t xml:space="preserve">1) Solo aplicar saldos verificables y documentados. No inventar saldos.</w:t>
      </w:r>
    </w:p>
    <w:p>
      <w:r>
        <w:rPr>
          <w:bCs/>
        </w:rPr>
        <w:t xml:space="preserve">2) Saldos mayores a $500 requieren autorización de Gerencia antes de aplicar.</w:t>
      </w:r>
    </w:p>
    <w:p>
      <w:r>
        <w:rPr>
          <w:bCs/>
        </w:rPr>
        <w:t xml:space="preserve">3) No realizar devolución en efectivo sin autorización de Gerencia.</w:t>
      </w:r>
    </w:p>
    <w:p>
      <w:r>
        <w:rPr>
          <w:bCs/>
        </w:rPr>
        <w:t xml:space="preserve">4) Todo saldo aplicado debe quedar registrado en bitácora con fecha y monto.</w:t>
      </w:r>
    </w:p>
    <w:p>
      <w:r>
        <w:rPr>
          <w:bCs/>
        </w:rPr>
        <w:t xml:space="preserve">5) Los saldos a favor por cancelación se liberan 30 días naturales después del cierre de la póliza.</w:t>
      </w:r>
    </w:p>
    <w:p>
      <w:r>
        <w:rPr>
          <w:bCs/>
          <w:b/>
        </w:rPr>
        <w:t xml:space="preserve">SLA / TIEMPOS:</w:t>
      </w:r>
    </w:p>
    <w:p>
      <w:r>
        <w:rPr>
          <w:bCs/>
        </w:rPr>
        <w:t xml:space="preserve">• Identificación y validación: mismo día de la detección.</w:t>
      </w:r>
    </w:p>
    <w:p>
      <w:r>
        <w:rPr>
          <w:bCs/>
        </w:rPr>
        <w:t xml:space="preserve">• Autorización (si aplica): máximo 24 horas hábiles.</w:t>
      </w:r>
    </w:p>
    <w:p>
      <w:r>
        <w:rPr>
          <w:bCs/>
        </w:rPr>
        <w:t xml:space="preserve">• Aplicación en sistema: máximo 48 horas hábiles tras autorización.</w:t>
      </w:r>
    </w:p>
    <w:p>
      <w:r>
        <w:rPr>
          <w:bCs/>
          <w:b/>
        </w:rPr>
        <w:t xml:space="preserve">RESGUARDO:</w:t>
      </w:r>
    </w:p>
    <w:p>
      <w:r>
        <w:rPr>
          <w:bCs/>
        </w:rPr>
        <w:t xml:space="preserve">• Archivar evidencia de saldo a favor y su aplicación en: D:\COBRANZA\COBRANZA\COBRANZA (COBRADORES) 2026\SaldosAFavor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781C6" w14:textId="77777777" w:rsidR="008E7886" w:rsidRDefault="008E7886" w:rsidP="00BC7370">
      <w:pPr>
        <w:spacing w:after="0" w:line="240" w:lineRule="auto"/>
      </w:pPr>
      <w:r>
        <w:separator/>
      </w:r>
    </w:p>
  </w:endnote>
  <w:endnote w:type="continuationSeparator" w:id="0">
    <w:p w14:paraId="1FE67E1E" w14:textId="77777777" w:rsidR="008E7886" w:rsidRDefault="008E7886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2CC03" w14:textId="77777777" w:rsidR="008E7886" w:rsidRDefault="008E7886" w:rsidP="00BC7370">
      <w:pPr>
        <w:spacing w:after="0" w:line="240" w:lineRule="auto"/>
      </w:pPr>
      <w:r>
        <w:separator/>
      </w:r>
    </w:p>
  </w:footnote>
  <w:footnote w:type="continuationSeparator" w:id="0">
    <w:p w14:paraId="44DBB008" w14:textId="77777777" w:rsidR="008E7886" w:rsidRDefault="008E7886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8E7886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128DB68C" w14:textId="35709249" w:rsidR="00105088" w:rsidRPr="00105088" w:rsidRDefault="00A30761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  <w:bookmarkStart w:id="0" w:name="_Hlk62233611"/>
          <w:r w:rsidRPr="00A30761">
            <w:rPr>
              <w:b/>
              <w:bCs/>
              <w:sz w:val="24"/>
              <w:szCs w:val="24"/>
            </w:rPr>
            <w:t>PROCEDIMIENTO</w:t>
          </w:r>
          <w:r>
            <w:rPr>
              <w:b/>
              <w:bCs/>
              <w:sz w:val="24"/>
              <w:szCs w:val="24"/>
            </w:rPr>
            <w:t xml:space="preserve"> </w:t>
          </w:r>
          <w:r w:rsidRPr="00A30761">
            <w:rPr>
              <w:b/>
              <w:bCs/>
              <w:sz w:val="24"/>
              <w:szCs w:val="24"/>
            </w:rPr>
            <w:t>APLICACIÓN DE SALDOS A FAVOR</w:t>
          </w: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26/05/202</w:t>
          </w:r>
          <w:r w:rsidR="00BF75E2">
            <w:t>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545E5A5C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</w:t>
          </w:r>
          <w:r w:rsidR="00A30761">
            <w:rPr>
              <w:b/>
              <w:bCs/>
            </w:rPr>
            <w:t>PAC3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3FBDBCA9" w:rsidR="00473B3B" w:rsidRDefault="00A30761" w:rsidP="004053B6">
          <w:pPr>
            <w:pStyle w:val="Encabezado"/>
            <w:jc w:val="center"/>
          </w:pPr>
          <w: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7886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8E7886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E7886"/>
    <w:rsid w:val="008F355C"/>
    <w:rsid w:val="008F7FED"/>
    <w:rsid w:val="00974DFD"/>
    <w:rsid w:val="009B071D"/>
    <w:rsid w:val="009C6753"/>
    <w:rsid w:val="00A21270"/>
    <w:rsid w:val="00A30761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03848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Hector Lopez</cp:lastModifiedBy>
  <cp:revision>2</cp:revision>
  <cp:lastPrinted>2022-08-31T21:25:00Z</cp:lastPrinted>
  <dcterms:created xsi:type="dcterms:W3CDTF">2026-05-26T18:19:00Z</dcterms:created>
  <dcterms:modified xsi:type="dcterms:W3CDTF">2026-05-26T18:19:00Z</dcterms:modified>
</cp:coreProperties>
</file>