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ACUERDO OPERATIVO — COBRADORES</w:t>
      </w:r>
    </w:p>
    <w:p>
      <w:pPr>
        <w:jc w:val="center"/>
      </w:pPr>
      <w:r>
        <w:t>Fecha: 27/05/2026</w:t>
      </w:r>
    </w:p>
    <w:p/>
    <w:p>
      <w:r>
        <w:rPr>
          <w:b/>
        </w:rPr>
        <w:t>Antecedente / problemática reportada por Ventas</w:t>
      </w:r>
    </w:p>
    <w:p>
      <w:pPr>
        <w:pStyle w:val="ListBullet"/>
      </w:pPr>
      <w:r>
        <w:t>Ventas ha reportado casos en los que el cliente solicita atención fuera de la ventana de ruta/zona asignada al cobrador.</w:t>
      </w:r>
    </w:p>
    <w:p>
      <w:pPr>
        <w:pStyle w:val="ListBullet"/>
      </w:pPr>
      <w:r>
        <w:t>Esto puede generar retrasos, quejas y confusión sobre quién es responsable del seguimiento cuando se solicita apoyo.</w:t>
      </w:r>
    </w:p>
    <w:p>
      <w:pPr>
        <w:pStyle w:val="ListBullet"/>
      </w:pPr>
      <w:r>
        <w:t>En algunos casos, el cliente interpreta la falta de coincidencia de horarios como “no hay disponibilidad”, cuando en realidad existen ventanas por ruta.</w:t>
      </w:r>
    </w:p>
    <w:p>
      <w:r>
        <w:rPr>
          <w:b/>
        </w:rPr>
        <w:t>Riesgos operativos que se busca evitar</w:t>
      </w:r>
    </w:p>
    <w:p>
      <w:pPr>
        <w:pStyle w:val="ListBullet"/>
      </w:pPr>
      <w:r>
        <w:t>Que el cobrador asignado traslade la responsabilidad al solicitar apoyo.</w:t>
      </w:r>
    </w:p>
    <w:p>
      <w:pPr>
        <w:pStyle w:val="ListBullet"/>
      </w:pPr>
      <w:r>
        <w:t>Reasignaciones sin criterio que rompen rutas y generan precedentes no sostenibles.</w:t>
      </w:r>
    </w:p>
    <w:p>
      <w:pPr>
        <w:pStyle w:val="ListBullet"/>
      </w:pPr>
      <w:r>
        <w:t>Clientes sin alternativas claras de pago o reprogramación (cliente “a la deriva”).</w:t>
      </w:r>
    </w:p>
    <w:p/>
    <w:p>
      <w:r>
        <w:t>Por medio del presente, los cobradores firmantes se comprometen a cumplir los siguientes lineamientos:</w:t>
      </w:r>
    </w:p>
    <w:p>
      <w:pPr>
        <w:pStyle w:val="ListBullet"/>
      </w:pPr>
      <w:r>
        <w:t>La cobranza en campo se realizará por ventanas de atención definidas por ruta/zona; no se garantiza hora exacta salvo excepción autorizada.</w:t>
      </w:r>
    </w:p>
    <w:p>
      <w:pPr>
        <w:pStyle w:val="ListBullet"/>
      </w:pPr>
      <w:r>
        <w:t>Antes de escalar un caso, el cobrador deberá ofrecer alternativas: (a) reprogramación a otra ventana, (b) domicilio alterno, (c) pago por depósito/transferencia cuando aplique.</w:t>
      </w:r>
    </w:p>
    <w:p>
      <w:pPr>
        <w:pStyle w:val="ListBullet"/>
      </w:pPr>
      <w:r>
        <w:t>Si se requiere apoyo (vendedor u otro cobrador), se deberá documentar: cliente/folio, motivo, quién apoya, fecha compromiso y evidencia del pago.</w:t>
      </w:r>
    </w:p>
    <w:p>
      <w:pPr>
        <w:pStyle w:val="ListBullet"/>
      </w:pPr>
      <w:r>
        <w:t>Regla central: solicitar apoyo NO transfiere responsabilidad. El cobrador asignado sigue siendo responsable hasta que el pago esté aplicado con evidencia o exista reasignación autorizada por Gerencia de Cobranza.</w:t>
      </w:r>
    </w:p>
    <w:p>
      <w:pPr>
        <w:pStyle w:val="ListBullet"/>
      </w:pPr>
      <w:r>
        <w:t>Cualquier excepción deberá ser autorizada por Gerencia de Cobranza por escrito (WhatsApp/Correo).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</w:tr>
      <w:tr>
        <w:tc>
          <w:tcPr>
            <w:tcW w:type="dxa" w:w="2880"/>
          </w:tcPr>
          <w:p>
            <w:r>
              <w:t>Edgar González</w:t>
            </w:r>
          </w:p>
        </w:tc>
        <w:tc>
          <w:tcPr>
            <w:tcW w:type="dxa" w:w="2880"/>
          </w:tcPr>
          <w:p>
            <w:r>
              <w:t>______________________________</w:t>
            </w:r>
          </w:p>
        </w:tc>
        <w:tc>
          <w:tcPr>
            <w:tcW w:type="dxa" w:w="2880"/>
          </w:tcPr>
          <w:p>
            <w:r>
              <w:t>____/____/2026</w:t>
            </w:r>
          </w:p>
        </w:tc>
      </w:tr>
      <w:tr>
        <w:tc>
          <w:tcPr>
            <w:tcW w:type="dxa" w:w="2880"/>
          </w:tcPr>
          <w:p>
            <w:r>
              <w:t>Francisco Murguía</w:t>
            </w:r>
          </w:p>
        </w:tc>
        <w:tc>
          <w:tcPr>
            <w:tcW w:type="dxa" w:w="2880"/>
          </w:tcPr>
          <w:p>
            <w:r>
              <w:t>______________________________</w:t>
            </w:r>
          </w:p>
        </w:tc>
        <w:tc>
          <w:tcPr>
            <w:tcW w:type="dxa" w:w="2880"/>
          </w:tcPr>
          <w:p>
            <w:r>
              <w:t>____/____/2026</w:t>
            </w:r>
          </w:p>
        </w:tc>
      </w:tr>
      <w:tr>
        <w:tc>
          <w:tcPr>
            <w:tcW w:type="dxa" w:w="2880"/>
          </w:tcPr>
          <w:p>
            <w:r>
              <w:t>Jorge Jauregui</w:t>
            </w:r>
          </w:p>
        </w:tc>
        <w:tc>
          <w:tcPr>
            <w:tcW w:type="dxa" w:w="2880"/>
          </w:tcPr>
          <w:p>
            <w:r>
              <w:t>______________________________</w:t>
            </w:r>
          </w:p>
        </w:tc>
        <w:tc>
          <w:tcPr>
            <w:tcW w:type="dxa" w:w="2880"/>
          </w:tcPr>
          <w:p>
            <w:r>
              <w:t>____/____/2026</w:t>
            </w:r>
          </w:p>
        </w:tc>
      </w:tr>
      <w:tr>
        <w:tc>
          <w:tcPr>
            <w:tcW w:type="dxa" w:w="2880"/>
          </w:tcPr>
          <w:p>
            <w:r>
              <w:t>Eduardo González</w:t>
            </w:r>
          </w:p>
        </w:tc>
        <w:tc>
          <w:tcPr>
            <w:tcW w:type="dxa" w:w="2880"/>
          </w:tcPr>
          <w:p>
            <w:r>
              <w:t>______________________________</w:t>
            </w:r>
          </w:p>
        </w:tc>
        <w:tc>
          <w:tcPr>
            <w:tcW w:type="dxa" w:w="2880"/>
          </w:tcPr>
          <w:p>
            <w:r>
              <w:t>____/____/2026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