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ACUERDO OPERATIVO — ATENCIÓN DE COBRANZA POR VENTANAS Y APOYOS</w:t>
      </w:r>
    </w:p>
    <w:p>
      <w:pPr>
        <w:jc w:val="center"/>
      </w:pPr>
      <w:r>
        <w:t>Áreas: Cobranza / Ventas</w:t>
      </w:r>
    </w:p>
    <w:p>
      <w:pPr>
        <w:jc w:val="center"/>
      </w:pPr>
      <w:r>
        <w:t>Fecha: 27/05/2026</w:t>
      </w:r>
    </w:p>
    <w:p/>
    <w:p>
      <w:r>
        <w:rPr>
          <w:b/>
        </w:rPr>
        <w:t>1. Objetivo</w:t>
      </w:r>
    </w:p>
    <w:p>
      <w:r>
        <w:t>Establecer criterios claros para la programación de visitas de cobranza, la atención al cliente por ventanas de ruta/zona, y el proceso de solicitud de apoyo cuando el cliente no pueda recibir en los horarios disponibles, evitando retrasos, malentendidos y transferencia indebida de responsabilidades.</w:t>
      </w:r>
    </w:p>
    <w:p>
      <w:r>
        <w:rPr>
          <w:b/>
        </w:rPr>
        <w:t>2. Alcance</w:t>
      </w:r>
    </w:p>
    <w:p>
      <w:r>
        <w:t>Aplica para todos los cobradores, vendedores y personal involucrado en la gestión de cobranza y atención a clientes.</w:t>
      </w:r>
    </w:p>
    <w:p>
      <w:r>
        <w:rPr>
          <w:b/>
        </w:rPr>
        <w:t>3. Lineamientos operativos</w:t>
      </w:r>
    </w:p>
    <w:p>
      <w:r>
        <w:rPr>
          <w:b/>
        </w:rPr>
        <w:t>3.1 Ventanas por ruta/zona (no hora exacta)</w:t>
      </w:r>
    </w:p>
    <w:p>
      <w:r>
        <w:t>La cobranza en campo se realizará por ventanas de atención definidas por ruta o zona. Por lo tanto, no se garantiza hora exacta, salvo casos excepcionales autorizados.</w:t>
      </w:r>
    </w:p>
    <w:p>
      <w:r>
        <w:rPr>
          <w:b/>
        </w:rPr>
        <w:t>3.2 Alternativas obligatorias antes de escalar</w:t>
      </w:r>
    </w:p>
    <w:p>
      <w:r>
        <w:t>Cuando un cliente no pueda recibir durante la ventana disponible, el cobrador deberá ofrecer alternativas, tales como:</w:t>
      </w:r>
    </w:p>
    <w:p>
      <w:pPr>
        <w:pStyle w:val="ListBullet"/>
      </w:pPr>
      <w:r>
        <w:t>Reprogramación a otra ventana disponible (mismo día u otro día).</w:t>
      </w:r>
    </w:p>
    <w:p>
      <w:pPr>
        <w:pStyle w:val="ListBullet"/>
      </w:pPr>
      <w:r>
        <w:t>Atención en domicilio alterno (trabajo/familiar).</w:t>
      </w:r>
    </w:p>
    <w:p>
      <w:pPr>
        <w:pStyle w:val="ListBullet"/>
      </w:pPr>
      <w:r>
        <w:t>Opción de pago por depósito/transferencia cuando el cliente lo solicite o sea la alternativa más viable.</w:t>
      </w:r>
    </w:p>
    <w:p>
      <w:r>
        <w:rPr>
          <w:b/>
        </w:rPr>
        <w:t>3.3 Solicitud de apoyo (Vendedor u otro cobrador)</w:t>
      </w:r>
    </w:p>
    <w:p>
      <w:r>
        <w:t>Si no existe posibilidad de cobro presencial dentro de ventanas razonables, el cobrador podrá solicitar apoyo a un vendedor o a otro cobrador, con el objetivo de evitar que el cliente quede sin atención y prevenir atraso en pagos.</w:t>
      </w:r>
    </w:p>
    <w:p>
      <w:r>
        <w:rPr>
          <w:b/>
        </w:rPr>
        <w:t>3.4 Regla central: el apoyo NO transfiere responsabilidad</w:t>
      </w:r>
    </w:p>
    <w:p>
      <w:r>
        <w:t>El hecho de solicitar apoyo NO transfiere la responsabilidad del cobro. El cobrador asignado seguirá siendo responsable del seguimiento hasta que ocurra cualquiera de las siguientes condiciones:</w:t>
      </w:r>
    </w:p>
    <w:p>
      <w:pPr>
        <w:pStyle w:val="ListBullet"/>
      </w:pPr>
      <w:r>
        <w:t>El pago quede aplicado y validado con evidencia.</w:t>
      </w:r>
    </w:p>
    <w:p>
      <w:pPr>
        <w:pStyle w:val="ListBullet"/>
      </w:pPr>
      <w:r>
        <w:t>Exista reasignación autorizada por Gerencia de Cobranza / Dirección General.</w:t>
      </w:r>
    </w:p>
    <w:p>
      <w:r>
        <w:rPr>
          <w:b/>
        </w:rPr>
        <w:t>3.5 Comisión en caso de cobro realizado por vendedor</w:t>
      </w:r>
    </w:p>
    <w:p>
      <w:r>
        <w:t>Cuando el cobro sea realizado por un vendedor como apoyo, la comisión correspondiente será para el vendedor, conforme a la indicación operativa vigente.</w:t>
      </w:r>
    </w:p>
    <w:p>
      <w:r>
        <w:rPr>
          <w:b/>
        </w:rPr>
        <w:t>4. Evidencia mínima / documentación</w:t>
      </w:r>
    </w:p>
    <w:p>
      <w:r>
        <w:t>Toda solicitud de apoyo deberá incluir como mínimo:</w:t>
      </w:r>
    </w:p>
    <w:p>
      <w:pPr>
        <w:pStyle w:val="ListBullet"/>
      </w:pPr>
      <w:r>
        <w:t>Cliente / folio / póliza (según aplique).</w:t>
      </w:r>
    </w:p>
    <w:p>
      <w:pPr>
        <w:pStyle w:val="ListBullet"/>
      </w:pPr>
      <w:r>
        <w:t>Motivo de la solicitud (horario fuera de ventana, urgencia, etc.).</w:t>
      </w:r>
    </w:p>
    <w:p>
      <w:pPr>
        <w:pStyle w:val="ListBullet"/>
      </w:pPr>
      <w:r>
        <w:t>Persona que apoya (vendedor u otro cobrador).</w:t>
      </w:r>
    </w:p>
    <w:p>
      <w:pPr>
        <w:pStyle w:val="ListBullet"/>
      </w:pPr>
      <w:r>
        <w:t>Fecha compromiso / resultado.</w:t>
      </w:r>
    </w:p>
    <w:p>
      <w:pPr>
        <w:pStyle w:val="ListBullet"/>
      </w:pPr>
      <w:r>
        <w:t>Evidencia del pago (captura, recibo, confirmación).</w:t>
      </w:r>
    </w:p>
    <w:p>
      <w:r>
        <w:rPr>
          <w:b/>
        </w:rPr>
        <w:t>5. Aceptación</w:t>
      </w:r>
    </w:p>
    <w:p>
      <w:r>
        <w:t>Con la firma del presente documento, las partes aceptan y se comprometen a respetar estos lineamientos operativos.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Firma</w:t>
            </w:r>
          </w:p>
        </w:tc>
      </w:tr>
      <w:tr>
        <w:tc>
          <w:tcPr>
            <w:tcW w:type="dxa" w:w="2880"/>
          </w:tcPr>
          <w:p>
            <w:r>
              <w:t>Óscar López</w:t>
            </w:r>
          </w:p>
        </w:tc>
        <w:tc>
          <w:tcPr>
            <w:tcW w:type="dxa" w:w="2880"/>
          </w:tcPr>
          <w:p>
            <w:r>
              <w:t>Director General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  <w:tr>
        <w:tc>
          <w:tcPr>
            <w:tcW w:type="dxa" w:w="2880"/>
          </w:tcPr>
          <w:p>
            <w:r>
              <w:t>Gabriela López</w:t>
            </w:r>
          </w:p>
        </w:tc>
        <w:tc>
          <w:tcPr>
            <w:tcW w:type="dxa" w:w="2880"/>
          </w:tcPr>
          <w:p>
            <w:r>
              <w:t>Gerente de Ventas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  <w:tr>
        <w:tc>
          <w:tcPr>
            <w:tcW w:type="dxa" w:w="2880"/>
          </w:tcPr>
          <w:p>
            <w:r>
              <w:t>Elena Rivas</w:t>
            </w:r>
          </w:p>
        </w:tc>
        <w:tc>
          <w:tcPr>
            <w:tcW w:type="dxa" w:w="2880"/>
          </w:tcPr>
          <w:p>
            <w:r>
              <w:t>Gerente de Cobranza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