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title: </w:t>
      </w:r>
      <w:r>
        <w:rPr>
          <w:rFonts w:hint="eastAsia"/>
        </w:rPr>
        <w:t xml:space="preserve">微服务架构升级技术方案</w:t>
      </w:r>
      <w:r>
        <w:t xml:space="preserve"> </w:t>
      </w:r>
      <w:r>
        <w:t xml:space="preserve">author: md-to-docx</w:t>
      </w:r>
    </w:p>
    <w:p>
      <w:r>
        <w:pict>
          <v:rect style="width:0;height:1.5pt" o:hralign="center" o:hrstd="t" o:hr="t"/>
        </w:pict>
      </w:r>
    </w:p>
    <w:bookmarkStart w:id="23" w:name="微服务架构升级技术方案"/>
    <w:p>
      <w:pPr>
        <w:pStyle w:val="Heading1"/>
      </w:pPr>
      <w:r>
        <w:rPr>
          <w:rFonts w:hint="eastAsia"/>
        </w:rPr>
        <w:t xml:space="preserve">微服务架构升级技术方案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版本：</w:t>
      </w:r>
      <w:r>
        <w:t xml:space="preserve"> </w:t>
      </w:r>
      <w:r>
        <w:t xml:space="preserve">v1.0</w:t>
      </w:r>
      <w:r>
        <w:rPr>
          <w:rFonts w:hint="eastAsia"/>
          <w:b/>
          <w:bCs/>
        </w:rPr>
        <w:t xml:space="preserve">日期：</w:t>
      </w:r>
      <w:r>
        <w:t xml:space="preserve"> </w:t>
      </w:r>
      <w:r>
        <w:rPr>
          <w:rFonts w:hint="eastAsia"/>
        </w:rPr>
        <w:t xml:space="preserve">2026年9月2日</w:t>
      </w:r>
      <w:r>
        <w:rPr>
          <w:rFonts w:hint="eastAsia"/>
          <w:b/>
          <w:bCs/>
        </w:rPr>
        <w:t xml:space="preserve">编制：</w:t>
      </w:r>
      <w:r>
        <w:t xml:space="preserve"> </w:t>
      </w:r>
      <w:r>
        <w:rPr>
          <w:rFonts w:hint="eastAsia"/>
        </w:rPr>
        <w:t xml:space="preserve">架构组</w:t>
      </w:r>
    </w:p>
    <w:bookmarkStart w:id="9" w:name="Xf7593c53d17102b900d304af9349164a8f58742"/>
    <w:p>
      <w:pPr>
        <w:pStyle w:val="Heading2"/>
      </w:pPr>
      <w:r>
        <w:t xml:space="preserve">1.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随着业务规模扩大，现有单体应用已无法满足高并发和快速迭代的需求。本次升级旨在将核心模块拆分为独立微服务，提升系统可扩展性和团队开发效率。</w:t>
      </w:r>
      <w:r>
        <w:t xml:space="preserve"> </w:t>
      </w:r>
      <w:r>
        <w:rPr>
          <w:rFonts w:hint="eastAsia"/>
        </w:rPr>
        <w:t xml:space="preserve">当前系统日均请求量超过</w:t>
      </w:r>
      <w:r>
        <w:t xml:space="preserve"> 500 </w:t>
      </w:r>
      <w:r>
        <w:rPr>
          <w:rFonts w:hint="eastAsia"/>
        </w:rPr>
        <w:t xml:space="preserve">万，峰值</w:t>
      </w:r>
      <w:r>
        <w:t xml:space="preserve"> QPS </w:t>
      </w:r>
      <w:r>
        <w:rPr>
          <w:rFonts w:hint="eastAsia"/>
        </w:rPr>
        <w:t xml:space="preserve">达到</w:t>
      </w:r>
      <w:r>
        <w:t xml:space="preserve"> </w:t>
      </w:r>
      <w:r>
        <w:rPr>
          <w:rFonts w:hint="eastAsia"/>
        </w:rPr>
        <w:t xml:space="preserve">8000。数据库连接池频繁耗尽，部署周期长达</w:t>
      </w:r>
      <w:r>
        <w:t xml:space="preserve"> 2 </w:t>
      </w:r>
      <w:r>
        <w:rPr>
          <w:rFonts w:hint="eastAsia"/>
        </w:rPr>
        <w:t xml:space="preserve">小时。</w:t>
      </w:r>
    </w:p>
    <w:bookmarkEnd w:id="9"/>
    <w:bookmarkStart w:id="12" w:name="X102abdb2e1f8993bb07815e5a19a5523cfc9c27"/>
    <w:p>
      <w:pPr>
        <w:pStyle w:val="Heading2"/>
      </w:pPr>
      <w:r>
        <w:t xml:space="preserve">2. </w:t>
      </w:r>
      <w:r>
        <w:rPr>
          <w:rFonts w:hint="eastAsia"/>
        </w:rPr>
        <w:t xml:space="preserve">现状分析</w:t>
      </w:r>
    </w:p>
    <w:bookmarkStart w:id="10" w:name="X6cf422dd6d460736e70eebc05ed991b62ed49e4"/>
    <w:p>
      <w:pPr>
        <w:pStyle w:val="Heading3"/>
      </w:pPr>
      <w:r>
        <w:t xml:space="preserve">2.1 </w:t>
      </w:r>
      <w:r>
        <w:rPr>
          <w:rFonts w:hint="eastAsia"/>
        </w:rPr>
        <w:t xml:space="preserve">技术栈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应用框架</w:t>
            </w:r>
          </w:p>
        </w:tc>
        <w:tc>
          <w:tcPr/>
          <w:p>
            <w:pPr>
              <w:pStyle w:val="Compact"/>
            </w:pPr>
            <w:r>
              <w:t xml:space="preserve">Spring Boot 2.7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单体部署，耦合严重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5.7 </w:t>
            </w:r>
            <w:r>
              <w:rPr>
                <w:rFonts w:hint="eastAsia"/>
              </w:rPr>
              <w:t xml:space="preserve">单实例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读写瓶颈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t xml:space="preserve">Redis 6.0 </w:t>
            </w:r>
            <w:r>
              <w:rPr>
                <w:rFonts w:hint="eastAsia"/>
              </w:rPr>
              <w:t xml:space="preserve">单节点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无高可用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异步处理缺失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文档格式</w:t>
            </w:r>
          </w:p>
        </w:tc>
        <w:tc>
          <w:tcPr/>
          <w:p>
            <w:pPr>
              <w:pStyle w:val="Compact"/>
            </w:pPr>
            <w:r>
              <w:t xml:space="preserve">Markdown </w:t>
            </w:r>
            <w:r>
              <w:rPr>
                <w:rFonts w:hint="eastAsia"/>
              </w:rPr>
              <w:t xml:space="preserve">手写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交付需转</w:t>
            </w:r>
            <w:r>
              <w:t xml:space="preserve"> Word</w:t>
            </w:r>
          </w:p>
        </w:tc>
      </w:tr>
    </w:tbl>
    <w:bookmarkEnd w:id="10"/>
    <w:bookmarkStart w:id="11" w:name="Xc2bb8d5164dc410ea39e248c75323226b4e9cce"/>
    <w:p>
      <w:pPr>
        <w:pStyle w:val="Heading3"/>
      </w:pPr>
      <w:r>
        <w:t xml:space="preserve">2.2 </w:t>
      </w:r>
      <w:r>
        <w:rPr>
          <w:rFonts w:hint="eastAsia"/>
        </w:rPr>
        <w:t xml:space="preserve">痛点总结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部署风险高</w:t>
      </w:r>
      <w:r>
        <w:t xml:space="preserve"> </w:t>
      </w:r>
      <w:r>
        <w:t xml:space="preserve">— </w:t>
      </w:r>
      <w:r>
        <w:rPr>
          <w:rFonts w:hint="eastAsia"/>
        </w:rPr>
        <w:t xml:space="preserve">任何小改动都需要全量发布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扩展困难</w:t>
      </w:r>
      <w:r>
        <w:t xml:space="preserve"> </w:t>
      </w:r>
      <w:r>
        <w:t xml:space="preserve">— </w:t>
      </w:r>
      <w:r>
        <w:rPr>
          <w:rFonts w:hint="eastAsia"/>
        </w:rPr>
        <w:t xml:space="preserve">无法针对热点模块独立扩容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团队协作</w:t>
      </w:r>
      <w:r>
        <w:t xml:space="preserve"> </w:t>
      </w:r>
      <w:r>
        <w:t xml:space="preserve">— </w:t>
      </w:r>
      <w:r>
        <w:rPr>
          <w:rFonts w:hint="eastAsia"/>
        </w:rPr>
        <w:t xml:space="preserve">多团队修改同一代码库，冲突频繁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文档交付</w:t>
      </w:r>
      <w:r>
        <w:t xml:space="preserve"> </w:t>
      </w:r>
      <w:r>
        <w:t xml:space="preserve">— </w:t>
      </w:r>
      <w:r>
        <w:rPr>
          <w:rFonts w:hint="eastAsia"/>
        </w:rPr>
        <w:t xml:space="preserve">技术方案需</w:t>
      </w:r>
      <w:r>
        <w:t xml:space="preserve"> Word </w:t>
      </w:r>
      <w:r>
        <w:rPr>
          <w:rFonts w:hint="eastAsia"/>
        </w:rPr>
        <w:t xml:space="preserve">格式提交审批</w:t>
      </w:r>
    </w:p>
    <w:bookmarkEnd w:id="11"/>
    <w:bookmarkEnd w:id="12"/>
    <w:bookmarkStart w:id="16" w:name="Xf8fba464c74d5b1930655e5c80fef81763ed190"/>
    <w:p>
      <w:pPr>
        <w:pStyle w:val="Heading2"/>
      </w:pPr>
      <w:r>
        <w:t xml:space="preserve">3. </w:t>
      </w:r>
      <w:r>
        <w:rPr>
          <w:rFonts w:hint="eastAsia"/>
        </w:rPr>
        <w:t xml:space="preserve">目标架构</w:t>
      </w:r>
    </w:p>
    <w:bookmarkStart w:id="13" w:name="Xdce551430ce838b65101a1e93cb3b0e118ab1c9"/>
    <w:p>
      <w:pPr>
        <w:pStyle w:val="Heading3"/>
      </w:pPr>
      <w:r>
        <w:t xml:space="preserve">3.1 </w:t>
      </w:r>
      <w:r>
        <w:rPr>
          <w:rFonts w:hint="eastAsia"/>
        </w:rPr>
        <w:t xml:space="preserve">服务拆分</w:t>
      </w:r>
    </w:p>
    <w:p>
      <w:pPr>
        <w:pStyle w:val="SourceCode"/>
      </w:pPr>
      <w:r>
        <w:br/>
      </w: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API </w:t>
      </w:r>
      <w:r>
        <w:rPr>
          <w:rStyle w:val="VerbatimChar"/>
          <w:rFonts w:hint="eastAsia"/>
        </w:rPr>
        <w:t xml:space="preserve">网关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└──────┬──────┘</w:t>
      </w:r>
      <w:r>
        <w:br/>
      </w:r>
      <w:r>
        <w:rPr>
          <w:rStyle w:val="VerbatimChar"/>
        </w:rPr>
        <w:t xml:space="preserve">           ┌───────────────┼───────────────┐</w:t>
      </w:r>
      <w:r>
        <w:br/>
      </w:r>
      <w:r>
        <w:rPr>
          <w:rStyle w:val="VerbatimChar"/>
        </w:rPr>
        <w:t xml:space="preserve">           ▼               ▼               ▼</w:t>
      </w:r>
      <w:r>
        <w:br/>
      </w:r>
      <w:r>
        <w:rPr>
          <w:rStyle w:val="VerbatimChar"/>
        </w:rPr>
        <w:t xml:space="preserve">    ┌────────────┐  ┌────────────┐  ┌────────────┐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用户服务</w:t>
      </w:r>
      <w:r>
        <w:rPr>
          <w:rStyle w:val="VerbatimChar"/>
        </w:rPr>
        <w:t xml:space="preserve">    │  │ </w:t>
      </w:r>
      <w:r>
        <w:rPr>
          <w:rStyle w:val="VerbatimChar"/>
          <w:rFonts w:hint="eastAsia"/>
        </w:rPr>
        <w:t xml:space="preserve">订单服务</w:t>
      </w:r>
      <w:r>
        <w:rPr>
          <w:rStyle w:val="VerbatimChar"/>
        </w:rPr>
        <w:t xml:space="preserve">    │  │ </w:t>
      </w:r>
      <w:r>
        <w:rPr>
          <w:rStyle w:val="VerbatimChar"/>
          <w:rFonts w:hint="eastAsia"/>
        </w:rPr>
        <w:t xml:space="preserve">文档服务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└────────────┘  └────────────┘  └────────────┘</w:t>
      </w:r>
      <w:r>
        <w:br/>
      </w:r>
      <w:r>
        <w:rPr>
          <w:rStyle w:val="VerbatimChar"/>
        </w:rPr>
        <w:t xml:space="preserve">           │               │               │</w:t>
      </w:r>
      <w:r>
        <w:br/>
      </w:r>
      <w:r>
        <w:rPr>
          <w:rStyle w:val="VerbatimChar"/>
        </w:rPr>
        <w:t xml:space="preserve">           ▼               ▼               ▼</w:t>
      </w:r>
      <w:r>
        <w:br/>
      </w:r>
      <w:r>
        <w:rPr>
          <w:rStyle w:val="VerbatimChar"/>
        </w:rPr>
        <w:t xml:space="preserve">    ┌────────────┐  ┌────────────┐  ┌────────────┐</w:t>
      </w:r>
      <w:r>
        <w:br/>
      </w:r>
      <w:r>
        <w:rPr>
          <w:rStyle w:val="VerbatimChar"/>
        </w:rPr>
        <w:t xml:space="preserve">    │ MySQL 8.0  │  │ MySQL 8.0  │  │ MinIO      │</w:t>
      </w:r>
      <w:r>
        <w:br/>
      </w:r>
      <w:r>
        <w:rPr>
          <w:rStyle w:val="VerbatimChar"/>
        </w:rPr>
        <w:t xml:space="preserve">    └────────────┘  └────────────┘  └────────────┘</w:t>
      </w:r>
    </w:p>
    <w:bookmarkEnd w:id="13"/>
    <w:bookmarkStart w:id="14" w:name="X1618f2fd4d852eecd08e6b9b5aac45bd2167775"/>
    <w:p>
      <w:pPr>
        <w:pStyle w:val="Heading3"/>
      </w:pPr>
      <w:r>
        <w:t xml:space="preserve">3.2 </w:t>
      </w:r>
      <w:r>
        <w:rPr>
          <w:rFonts w:hint="eastAsia"/>
        </w:rPr>
        <w:t xml:space="preserve">文档服务设计</w:t>
      </w:r>
    </w:p>
    <w:p>
      <w:pPr>
        <w:pStyle w:val="FirstParagraph"/>
      </w:pPr>
      <w:r>
        <w:rPr>
          <w:rFonts w:hint="eastAsia"/>
        </w:rPr>
        <w:t xml:space="preserve">文档服务负责</w:t>
      </w:r>
      <w:r>
        <w:t xml:space="preserve"> Markdown </w:t>
      </w:r>
      <w:r>
        <w:rPr>
          <w:rFonts w:hint="eastAsia"/>
        </w:rPr>
        <w:t xml:space="preserve">到</w:t>
      </w:r>
      <w:r>
        <w:t xml:space="preserve"> Word </w:t>
      </w:r>
      <w:r>
        <w:rPr>
          <w:rFonts w:hint="eastAsia"/>
        </w:rPr>
        <w:t xml:space="preserve">的编译转换：</w:t>
      </w:r>
    </w:p>
    <w:p>
      <w:pPr>
        <w:pStyle w:val="SourceCode"/>
      </w:pPr>
      <w:r>
        <w:br/>
      </w:r>
      <w:r>
        <w:rPr>
          <w:rStyle w:val="CommentTok"/>
        </w:rPr>
        <w:t xml:space="preserve"># 文档编译核心逻辑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compile_document(source_path: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"""将 Markdown 编译为 DOCX，不修改源文件。"""</w:t>
      </w:r>
      <w:r>
        <w:br/>
      </w:r>
      <w:r>
        <w:rPr>
          <w:rStyle w:val="NormalTok"/>
        </w:rPr>
        <w:t xml:space="preserve">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normalizer.process(read(source_path))</w:t>
      </w:r>
      <w:r>
        <w:br/>
      </w:r>
      <w:r>
        <w:rPr>
          <w:rStyle w:val="NormalTok"/>
        </w:rPr>
        <w:t xml:space="preserve"> 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pandoc.convert(normalized, template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"reference-wecom.docx"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output</w:t>
      </w:r>
    </w:p>
    <w:bookmarkEnd w:id="14"/>
    <w:bookmarkStart w:id="15" w:name="Xcbce696af6c413e050e50783356875be7733652"/>
    <w:p>
      <w:pPr>
        <w:pStyle w:val="Heading3"/>
      </w:pPr>
      <w:r>
        <w:t xml:space="preserve">3.3 </w:t>
      </w:r>
      <w:r>
        <w:rPr>
          <w:rFonts w:hint="eastAsia"/>
        </w:rPr>
        <w:t xml:space="preserve">技术选型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服务框架</w:t>
            </w:r>
          </w:p>
        </w:tc>
        <w:tc>
          <w:tcPr/>
          <w:p>
            <w:pPr>
              <w:pStyle w:val="Compact"/>
            </w:pPr>
            <w:r>
              <w:t xml:space="preserve">Spring Cloud 2023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团队熟悉，生态成熟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注册中心</w:t>
            </w:r>
          </w:p>
        </w:tc>
        <w:tc>
          <w:tcPr/>
          <w:p>
            <w:pPr>
              <w:pStyle w:val="Compact"/>
            </w:pPr>
            <w:r>
              <w:t xml:space="preserve">Nacos 2.x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配置+注册一体化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t xml:space="preserve">Spring Cloud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与现有技术栈一致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t xml:space="preserve">RocketMQ 5.x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金融级可靠性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文档编译</w:t>
            </w:r>
          </w:p>
        </w:tc>
        <w:tc>
          <w:tcPr/>
          <w:p>
            <w:pPr>
              <w:pStyle w:val="Compact"/>
            </w:pPr>
            <w:r>
              <w:t xml:space="preserve">md-to-docx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开源，支持中文排版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Kubernetes 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已有运维能力</w:t>
            </w:r>
          </w:p>
        </w:tc>
      </w:tr>
    </w:tbl>
    <w:bookmarkEnd w:id="15"/>
    <w:bookmarkEnd w:id="16"/>
    <w:bookmarkStart w:id="19" w:name="X01d1aa4da410a483772edce136b0f600efaf09c"/>
    <w:p>
      <w:pPr>
        <w:pStyle w:val="Heading2"/>
      </w:pPr>
      <w:r>
        <w:t xml:space="preserve">4. </w:t>
      </w:r>
      <w:r>
        <w:rPr>
          <w:rFonts w:hint="eastAsia"/>
        </w:rPr>
        <w:t xml:space="preserve">实施计划</w:t>
      </w:r>
    </w:p>
    <w:bookmarkStart w:id="17" w:name="Xbdbfc59e18b353a3440028dedef261441a9fdb9"/>
    <w:p>
      <w:pPr>
        <w:pStyle w:val="Heading3"/>
      </w:pPr>
      <w:r>
        <w:t xml:space="preserve">4.1 </w:t>
      </w:r>
      <w:r>
        <w:rPr>
          <w:rFonts w:hint="eastAsia"/>
        </w:rPr>
        <w:t xml:space="preserve">阶段划分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第1-4周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用户服务拆分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用户模块独立部署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第5-8周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订单服务拆分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订单模块独立部署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第9-12周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文档服务上线</w:t>
            </w:r>
          </w:p>
        </w:tc>
        <w:tc>
          <w:tcPr/>
          <w:p>
            <w:pPr>
              <w:pStyle w:val="Compact"/>
            </w:pPr>
            <w:r>
              <w:t xml:space="preserve">Markdown→Word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第13-16周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单体下线</w:t>
            </w:r>
          </w:p>
        </w:tc>
      </w:tr>
    </w:tbl>
    <w:bookmarkEnd w:id="17"/>
    <w:bookmarkStart w:id="18" w:name="X77ca670fd01e01c07dbbae8629d59f4989ee67a"/>
    <w:p>
      <w:pPr>
        <w:pStyle w:val="Heading3"/>
      </w:pPr>
      <w:r>
        <w:t xml:space="preserve">4.2 </w:t>
      </w:r>
      <w:r>
        <w:rPr>
          <w:rFonts w:hint="eastAsia"/>
        </w:rPr>
        <w:t xml:space="preserve">风险与应对</w:t>
      </w:r>
    </w:p>
    <w:p>
      <w:pPr>
        <w:pStyle w:val="BlockText"/>
      </w:pPr>
      <w:r>
        <w:rPr>
          <w:rFonts w:hint="eastAsia"/>
          <w:b/>
          <w:bCs/>
        </w:rPr>
        <w:t xml:space="preserve">注意：</w:t>
      </w:r>
      <w:r>
        <w:t xml:space="preserve"> </w:t>
      </w:r>
      <w:r>
        <w:rPr>
          <w:rFonts w:hint="eastAsia"/>
        </w:rPr>
        <w:t xml:space="preserve">数据库拆分是最大风险点，建议采用绞杀者模式（Strangler</w:t>
      </w:r>
      <w:r>
        <w:t xml:space="preserve"> </w:t>
      </w:r>
      <w:r>
        <w:rPr>
          <w:rFonts w:hint="eastAsia"/>
        </w:rPr>
        <w:t xml:space="preserve">Fig）逐步迁移。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应对措施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分布式事务（Seata）+</w:t>
            </w:r>
            <w:r>
              <w:t xml:space="preserve"> </w:t>
            </w:r>
            <w:r>
              <w:rPr>
                <w:rFonts w:hint="eastAsia"/>
              </w:rPr>
              <w:t xml:space="preserve">最终一致性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服务间延迟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熔断降级（Sentinel）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团队技能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</w:t>
            </w:r>
            <w:r>
              <w:t xml:space="preserve"> + </w:t>
            </w:r>
            <w:r>
              <w:rPr>
                <w:rFonts w:hint="eastAsia"/>
              </w:rPr>
              <w:t xml:space="preserve">结对编程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md-to-docx </w:t>
            </w:r>
            <w:r>
              <w:rPr>
                <w:rFonts w:hint="eastAsia"/>
              </w:rPr>
              <w:t xml:space="preserve">自动化编译</w:t>
            </w:r>
          </w:p>
        </w:tc>
      </w:tr>
    </w:tbl>
    <w:bookmarkEnd w:id="18"/>
    <w:bookmarkEnd w:id="19"/>
    <w:bookmarkStart w:id="20" w:name="Xb4b4ebfbf5fdcf69b0da6388608d91220965eb7"/>
    <w:p>
      <w:pPr>
        <w:pStyle w:val="Heading2"/>
      </w:pPr>
      <w:r>
        <w:t xml:space="preserve">5. </w:t>
      </w:r>
      <w:r>
        <w:rPr>
          <w:rFonts w:hint="eastAsia"/>
        </w:rPr>
        <w:t xml:space="preserve">资源需求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后端工程师</w:t>
      </w:r>
      <w:r>
        <w:t xml:space="preserve"> × </w:t>
      </w:r>
      <w:r>
        <w:rPr>
          <w:rFonts w:hint="eastAsia"/>
        </w:rPr>
        <w:t xml:space="preserve">4（12周）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运维工程师</w:t>
      </w:r>
      <w:r>
        <w:t xml:space="preserve"> × </w:t>
      </w:r>
      <w:r>
        <w:rPr>
          <w:rFonts w:hint="eastAsia"/>
        </w:rPr>
        <w:t xml:space="preserve">2（8周）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测试工程师</w:t>
      </w:r>
      <w:r>
        <w:t xml:space="preserve"> × </w:t>
      </w:r>
      <w:r>
        <w:rPr>
          <w:rFonts w:hint="eastAsia"/>
        </w:rPr>
        <w:t xml:space="preserve">2（12周）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云资源预算：约</w:t>
      </w:r>
      <w:r>
        <w:t xml:space="preserve"> 15 </w:t>
      </w:r>
      <w:r>
        <w:rPr>
          <w:rFonts w:hint="eastAsia"/>
        </w:rPr>
        <w:t xml:space="preserve">万元/季度</w:t>
      </w:r>
    </w:p>
    <w:bookmarkEnd w:id="20"/>
    <w:bookmarkStart w:id="21" w:name="X588ecb4583d13a466125e18990f848e1cc8016f"/>
    <w:p>
      <w:pPr>
        <w:pStyle w:val="Heading2"/>
      </w:pPr>
      <w:r>
        <w:t xml:space="preserve">6. </w:t>
      </w:r>
      <w:r>
        <w:rPr>
          <w:rFonts w:hint="eastAsia"/>
        </w:rPr>
        <w:t xml:space="preserve">验收标准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各微服务可独立部署、独立扩容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核心接口</w:t>
      </w:r>
      <w:r>
        <w:t xml:space="preserve"> P99 </w:t>
      </w:r>
      <w:r>
        <w:rPr>
          <w:rFonts w:hint="eastAsia"/>
        </w:rPr>
        <w:t xml:space="preserve">延迟</w:t>
      </w:r>
      <w:r>
        <w:t xml:space="preserve"> &lt; 200ms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技术方案文档支持一键导出</w:t>
      </w:r>
      <w:r>
        <w:t xml:space="preserve"> Word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部署时间从</w:t>
      </w:r>
      <w:r>
        <w:t xml:space="preserve"> 2 </w:t>
      </w:r>
      <w:r>
        <w:rPr>
          <w:rFonts w:hint="eastAsia"/>
        </w:rPr>
        <w:t xml:space="preserve">小时缩短到</w:t>
      </w:r>
      <w:r>
        <w:t xml:space="preserve"> 15 </w:t>
      </w:r>
      <w:r>
        <w:rPr>
          <w:rFonts w:hint="eastAsia"/>
        </w:rPr>
        <w:t xml:space="preserve">分钟</w:t>
      </w:r>
    </w:p>
    <w:bookmarkEnd w:id="21"/>
    <w:bookmarkStart w:id="22" w:name="Xd4b655d7b8e1af88984a67e5ff46bb02e399a06"/>
    <w:p>
      <w:pPr>
        <w:pStyle w:val="Heading2"/>
      </w:pPr>
      <w:r>
        <w:t xml:space="preserve">7. </w:t>
      </w: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本次微服务架构升级是系统演进的必要步骤。通过合理的服务拆分和文档编译自动化，可以显著提升开发效率和交付质量。建议尽快启动第一阶段的用户服务拆分工作。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本方案使用</w:t>
      </w:r>
      <w:r>
        <w:t xml:space="preserve"> md-to-docx </w:t>
      </w:r>
      <w:r>
        <w:rPr>
          <w:rFonts w:hint="eastAsia"/>
        </w:rPr>
        <w:t xml:space="preserve">编译为</w:t>
      </w:r>
      <w:r>
        <w:t xml:space="preserve"> Word </w:t>
      </w:r>
      <w:r>
        <w:rPr>
          <w:rFonts w:hint="eastAsia"/>
        </w:rPr>
        <w:t xml:space="preserve">格式提交审批。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Microsoft YaHei" w:cs="Microsoft YaHei" w:eastAsia="Microsoft YaHei" w:hAnsi="Microsoft YaHei"/>
      <w:sz w:val="22"/>
    </w:rPr>
  </w:style>
  <w:style w:styleId="BodyText" w:type="paragraph">
    <w:name w:val="Body Text"/>
    <w:basedOn w:val="Normal"/>
    <w:link w:val="BodyTextChar"/>
    <w:pPr>
      <w:spacing w:after="120" w:before="180" w:line="360" w:lineRule="auto"/>
    </w:pPr>
    <w:qFormat/>
    <w:rPr>
      <w:rFonts w:ascii="Microsoft YaHei" w:cs="Microsoft YaHei" w:eastAsia="Microsoft YaHei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360" w:lineRule="auto"/>
    </w:pPr>
    <w:rPr>
      <w:rFonts w:ascii="Microsoft YaHei" w:cs="Microsoft YaHei" w:eastAsia="Microsoft YaHei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36" w:line="300" w:lineRule="auto"/>
    </w:pPr>
    <w:rPr>
      <w:rFonts w:ascii="Microsoft YaHei" w:cs="Microsoft YaHei" w:eastAsia="Microsoft YaHei" w:hAnsi="Microsoft YaHe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 w:line="360" w:lineRule="auto"/>
      <w:ind w:firstLine="0" w:left="360" w:right="480"/>
      <w:pBdr>
        <w:left w:color="D9D9D9" w:space="4" w:sz="12" w:val="single"/>
      </w:pBdr>
    </w:pPr>
    <w:rPr>
      <w:rFonts w:ascii="Microsoft YaHei" w:cs="Microsoft YaHei" w:eastAsia="Microsoft YaHei" w:hAnsi="Microsoft YaHei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after="0" w:before="0"/>
    </w:pPr>
    <w:rPr>
      <w:rFonts w:ascii="Microsoft YaHei" w:cs="Microsoft YaHei" w:eastAsia="Microsoft YaHei" w:hAnsi="Microsoft YaHei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D9D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Microsoft YaHei" w:hAnsi="Consolas"/>
      <w:color w:val="333333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basedOn w:val="Normal"/>
    <w:pPr>
      <w:spacing w:after="240" w:before="360" w:line="300" w:lineRule="auto"/>
    </w:pPr>
    <w:rPr>
      <w:rFonts w:ascii="Microsoft YaHei" w:cs="Microsoft YaHei" w:eastAsia="Microsoft YaHei" w:hAnsi="Microsoft YaHei"/>
      <w:b/>
      <w:sz w:val="36"/>
    </w:rPr>
  </w:style>
  <w:style w:customStyle="1" w:styleId="Heading2" w:type="paragraph">
    <w:name w:val="heading 2"/>
    <w:basedOn w:val="Normal"/>
    <w:pPr>
      <w:spacing w:after="160" w:before="280" w:line="300" w:lineRule="auto"/>
    </w:pPr>
    <w:rPr>
      <w:rFonts w:ascii="Microsoft YaHei" w:cs="Microsoft YaHei" w:eastAsia="Microsoft YaHei" w:hAnsi="Microsoft YaHei"/>
      <w:b/>
      <w:sz w:val="32"/>
    </w:rPr>
  </w:style>
  <w:style w:customStyle="1" w:styleId="Heading3" w:type="paragraph">
    <w:name w:val="heading 3"/>
    <w:basedOn w:val="Normal"/>
    <w:pPr>
      <w:spacing w:after="120" w:before="240" w:line="300" w:lineRule="auto"/>
    </w:pPr>
    <w:rPr>
      <w:rFonts w:ascii="Microsoft YaHei" w:cs="Microsoft YaHei" w:eastAsia="Microsoft YaHei" w:hAnsi="Microsoft YaHei"/>
      <w:b/>
      <w:sz w:val="28"/>
    </w:rPr>
  </w:style>
  <w:style w:customStyle="1" w:styleId="Heading4" w:type="paragraph">
    <w:name w:val="heading 4"/>
    <w:basedOn w:val="Normal"/>
    <w:pPr>
      <w:spacing w:after="80" w:before="200" w:line="300" w:lineRule="auto"/>
    </w:pPr>
    <w:rPr>
      <w:rFonts w:ascii="Microsoft YaHei" w:cs="Microsoft YaHei" w:eastAsia="Microsoft YaHei" w:hAnsi="Microsoft YaHei"/>
      <w:b/>
      <w:sz w:val="26"/>
    </w:rPr>
  </w:style>
  <w:style w:customStyle="1" w:styleId="Heading5" w:type="paragraph">
    <w:name w:val="heading 5"/>
    <w:basedOn w:val="Normal"/>
    <w:pPr>
      <w:spacing w:after="60" w:before="160" w:line="300" w:lineRule="auto"/>
    </w:pPr>
    <w:rPr>
      <w:rFonts w:ascii="Microsoft YaHei" w:cs="Microsoft YaHei" w:eastAsia="Microsoft YaHei" w:hAnsi="Microsoft YaHei"/>
      <w:b/>
      <w:sz w:val="24"/>
    </w:rPr>
  </w:style>
  <w:style w:customStyle="1" w:styleId="Heading6" w:type="paragraph">
    <w:name w:val="heading 6"/>
    <w:basedOn w:val="Normal"/>
    <w:pPr>
      <w:spacing w:after="60" w:before="120" w:line="300" w:lineRule="auto"/>
    </w:pPr>
    <w:rPr>
      <w:rFonts w:ascii="Microsoft YaHei" w:cs="Microsoft YaHei" w:eastAsia="Microsoft YaHei" w:hAnsi="Microsoft YaHei"/>
      <w:b/>
      <w:sz w:val="22"/>
    </w:rPr>
  </w:style>
  <w:style w:customStyle="1" w:styleId="SourceCode" w:type="paragraph">
    <w:name w:val="Source Code"/>
    <w:basedOn w:val="BodyText"/>
    <w:pPr>
      <w:spacing w:after="120" w:before="120" w:line="276" w:lineRule="auto"/>
      <w:ind w:left="0"/>
    </w:pPr>
    <w:rPr>
      <w:rFonts w:ascii="Consolas" w:cs="Consolas" w:eastAsia="Microsoft YaHei" w:hAnsi="Consolas"/>
      <w:color w:val="333333"/>
      <w:sz w:val="20"/>
    </w:rPr>
  </w:style>
  <w:style w:customStyle="1" w:styleId="CompactTable" w:type="table">
    <w:tblPr>
      <w:tblBorders>
        <w:top w:color="000000" w:space="0" w:sz="2" w:val="single"/>
        <w:left w:color="000000" w:space="0" w:sz="2" w:val="single"/>
        <w:bottom w:color="000000" w:space="0" w:sz="2" w:val="single"/>
        <w:right w:color="000000" w:space="0" w:sz="2" w:val="single"/>
        <w:insideH w:color="000000" w:space="0" w:sz="2" w:val="single"/>
        <w:insideV w:color="000000" w:space="0" w:sz="2" w:val="single"/>
      </w:tblBorders>
    </w:tblPr>
    <w:name w:val="CompactTable"/>
    <w:basedOn w:val="Table"/>
    <w:pPr>
      <w:spacing w:after="0" w:before="0"/>
    </w:pPr>
    <w:rPr>
      <w:rFonts w:ascii="Microsoft YaHei" w:cs="Microsoft YaHei" w:eastAsia="Microsoft YaHei" w:hAnsi="Microsoft YaHei"/>
      <w:sz w:val="18"/>
    </w:rPr>
    <w:tblStylePr w:type="firstRow">
      <w:rPr>
        <w:b/>
      </w:rPr>
      <w:tcPr>
        <w:shd w:color="auto" w:fill="E5E5E5" w:val="clear"/>
      </w:tcPr>
    </w:tblStyle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2026-09-02T01:47:19Z</dcterms:created>
  <dcterms:modified xsi:type="dcterms:W3CDTF">2026-09-02T01:47:19Z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