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 Technical Report</w:t>
      </w:r>
      <w:r>
        <w:t xml:space="preserve"> </w:t>
      </w:r>
      <w:r>
        <w:t xml:space="preserve">author: md-to-docx</w:t>
      </w:r>
    </w:p>
    <w:p>
      <w:r>
        <w:pict>
          <v:rect style="width:0;height:1.5pt" o:hralign="center" o:hrstd="t" o:hr="t"/>
        </w:pict>
      </w:r>
    </w:p>
    <w:bookmarkStart w:id="27" w:name="document-compiler-architecture"/>
    <w:p>
      <w:pPr>
        <w:pStyle w:val="Heading1"/>
      </w:pPr>
      <w:r>
        <w:t xml:space="preserve">Document Compiler Architecture</w:t>
      </w:r>
    </w:p>
    <w:p>
      <w:pPr>
        <w:pStyle w:val="FirstParagraph"/>
      </w:pPr>
      <w:r>
        <w:t xml:space="preserve">This report describes the architecture of an open-source document compiler that transforms Markdown and AI-generated content into professional Word documents.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Modern teams write in Markdown — from GitHub READMEs to ChatGPT exports. Delivering polished Word documents still requires manual copy-paste and formatting. A document compiler automates this pipeline while preserving structure, tables, code blocks, and CJK typography.</w:t>
      </w:r>
    </w:p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Treat Markdown → DOCX as a compilation step, not a one-off export.</w:t>
      </w:r>
    </w:p>
    <w:bookmarkEnd w:id="9"/>
    <w:bookmarkStart w:id="15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The system follows a linear pipeline with optional diagram rendering:</w:t>
      </w:r>
    </w:p>
    <w:p>
      <w:pPr>
        <w:pStyle w:val="BodyText"/>
      </w:pPr>
      <w:r>
        <w:drawing>
          <wp:inline>
            <wp:extent cx="5067300" cy="1407583"/>
            <wp:effectExtent b="0" l="0" r="0" t="0"/>
            <wp:docPr descr="Architecture" title="" id="11" name="Picture"/>
            <a:graphic>
              <a:graphicData uri="http://schemas.openxmlformats.org/drawingml/2006/picture">
                <pic:pic>
                  <pic:nvPicPr>
                    <pic:cNvPr descr="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0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" w:name="pipeline-stages"/>
    <w:p>
      <w:pPr>
        <w:pStyle w:val="Heading3"/>
      </w:pPr>
      <w:r>
        <w:t xml:space="preserve">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Cleaned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Fix tables, headings, blank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```mermaid</w:t>
            </w:r>
            <w:r>
              <w:t xml:space="preserve"> </w:t>
            </w: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PNG images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mmdc</w:t>
            </w:r>
            <w:r>
              <w:t xml:space="preserve"> </w:t>
            </w:r>
            <w:r>
              <w:t xml:space="preserve">when fences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GFM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Reference template + Lua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Verified output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unchanged (SHA256)</w:t>
            </w:r>
          </w:p>
        </w:tc>
      </w:tr>
    </w:tbl>
    <w:bookmarkEnd w:id="13"/>
    <w:bookmarkStart w:id="14" w:name="component-responsibilities"/>
    <w:p>
      <w:pPr>
        <w:pStyle w:val="Heading3"/>
      </w:pPr>
      <w:r>
        <w:t xml:space="preserve">Component Responsibilities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 layer</w:t>
      </w:r>
      <w:r>
        <w:t xml:space="preserve"> </w:t>
      </w:r>
      <w:r>
        <w:t xml:space="preserve">— discovers files, handles batch conversion,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--output-dir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Normalizer</w:t>
      </w:r>
      <w:r>
        <w:t xml:space="preserve"> </w:t>
      </w:r>
      <w:r>
        <w:t xml:space="preserve">— CJK-aware heading numbers, list spacing, code fence fixes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Converter</w:t>
      </w:r>
      <w:r>
        <w:t xml:space="preserve"> </w:t>
      </w:r>
      <w:r>
        <w:t xml:space="preserve">— orchestrates pandoc subprocess with bundled assets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template</w:t>
      </w:r>
      <w:r>
        <w:t xml:space="preserve"> </w:t>
      </w:r>
      <w:r>
        <w:t xml:space="preserve">— YaHei body, Consolas code, compact table style</w:t>
      </w:r>
    </w:p>
    <w:bookmarkEnd w:id="14"/>
    <w:bookmarkEnd w:id="15"/>
    <w:bookmarkStart w:id="18" w:name="implementation-details"/>
    <w:p>
      <w:pPr>
        <w:pStyle w:val="Heading2"/>
      </w:pPr>
      <w:r>
        <w:t xml:space="preserve">Implementation Details</w:t>
      </w:r>
    </w:p>
    <w:bookmarkStart w:id="16" w:name="normalization-rules"/>
    <w:p>
      <w:pPr>
        <w:pStyle w:val="Heading3"/>
      </w:pPr>
      <w:r>
        <w:t xml:space="preserve">Normalization Rules</w:t>
      </w:r>
    </w:p>
    <w:p>
      <w:pPr>
        <w:pStyle w:val="FirstParagraph"/>
      </w:pPr>
      <w:r>
        <w:t xml:space="preserve">The normalizer applies deterministic transforms before pandoc sees the file:</w:t>
      </w:r>
    </w:p>
    <w:p>
      <w:pPr>
        <w:pStyle w:val="SourceCode"/>
      </w:pP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MarkdownNormalizer: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._fix_tables(text)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._fix_headings(text)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._fix_code_blocks(text)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</w:p>
    <w:bookmarkEnd w:id="16"/>
    <w:bookmarkStart w:id="17" w:name="pandoc-invocation"/>
    <w:p>
      <w:pPr>
        <w:pStyle w:val="Heading3"/>
      </w:pPr>
      <w:r>
        <w:t xml:space="preserve">Pandoc Invocation</w:t>
      </w:r>
    </w:p>
    <w:p>
      <w:pPr>
        <w:pStyle w:val="SourceCode"/>
      </w:pP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-from</w:t>
      </w:r>
      <w:r>
        <w:rPr>
          <w:rStyle w:val="NormalTok"/>
        </w:rPr>
        <w:t xml:space="preserve"> 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-to</w:t>
      </w:r>
      <w:r>
        <w:rPr>
          <w:rStyle w:val="NormalTok"/>
        </w:rPr>
        <w:t xml:space="preserve"> 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-reference-doc</w:t>
      </w:r>
      <w:r>
        <w:rPr>
          <w:rStyle w:val="NormalTok"/>
        </w:rPr>
        <w:t xml:space="preserve"> reference-wecom.docx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-lua-filter</w:t>
      </w:r>
      <w:r>
        <w:rPr>
          <w:rStyle w:val="NormalTok"/>
        </w:rPr>
        <w:t xml:space="preserve"> wecom-layout.lua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-dpi</w:t>
      </w:r>
      <w:r>
        <w:rPr>
          <w:rStyle w:val="NormalTok"/>
        </w:rPr>
        <w:t xml:space="preserve"> 150</w:t>
      </w:r>
    </w:p>
    <w:bookmarkEnd w:id="17"/>
    <w:bookmarkEnd w:id="18"/>
    <w:bookmarkStart w:id="19" w:name="performance-characteristics"/>
    <w:p>
      <w:pPr>
        <w:pStyle w:val="Heading2"/>
      </w:pPr>
      <w:r>
        <w:t xml:space="preserve">Performance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file (&lt; 50 KB)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  <w:tc>
          <w:tcPr/>
          <w:p>
            <w:pPr>
              <w:pStyle w:val="Compact"/>
            </w:pPr>
            <w:r>
              <w:t xml:space="preserve">macOS, pandoc 3.x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100 files</w:t>
            </w:r>
          </w:p>
        </w:tc>
        <w:tc>
          <w:tcPr/>
          <w:p>
            <w:pPr>
              <w:pStyle w:val="Compact"/>
            </w:pPr>
            <w:r>
              <w:t xml:space="preserve">&lt; 3 min</w:t>
            </w:r>
          </w:p>
        </w:tc>
        <w:tc>
          <w:tcPr/>
          <w:p>
            <w:pPr>
              <w:pStyle w:val="Compact"/>
            </w:pPr>
            <w:r>
              <w:t xml:space="preserve">SSD, no Mermaid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per diagram</w:t>
            </w:r>
          </w:p>
        </w:tc>
        <w:tc>
          <w:tcPr/>
          <w:p>
            <w:pPr>
              <w:pStyle w:val="Compact"/>
            </w:pPr>
            <w:r>
              <w:t xml:space="preserve">3–8 s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  <w:r>
              <w:t xml:space="preserve"> </w:t>
            </w:r>
            <w:r>
              <w:rPr>
                <w:rStyle w:val="VerbatimChar"/>
              </w:rPr>
              <w:t xml:space="preserve">mmdc</w:t>
            </w:r>
            <w:r>
              <w:t xml:space="preserve"> </w:t>
            </w:r>
            <w:r>
              <w:t xml:space="preserve">+ browser</w:t>
            </w:r>
          </w:p>
        </w:tc>
      </w:tr>
    </w:tbl>
    <w:bookmarkEnd w:id="19"/>
    <w:bookmarkStart w:id="20" w:name="security-considerations"/>
    <w:p>
      <w:pPr>
        <w:pStyle w:val="Heading2"/>
      </w:pPr>
      <w:r>
        <w:t xml:space="preserve">Security Considerations</w:t>
      </w:r>
    </w:p>
    <w:p>
      <w:pPr>
        <w:pStyle w:val="Compact"/>
        <w:numPr>
          <w:ilvl w:val="0"/>
          <w:numId w:val="1002"/>
        </w:numPr>
      </w:pPr>
      <w:r>
        <w:t xml:space="preserve">Source files are never modified in place</w:t>
      </w:r>
    </w:p>
    <w:p>
      <w:pPr>
        <w:pStyle w:val="Compact"/>
        <w:numPr>
          <w:ilvl w:val="0"/>
          <w:numId w:val="1002"/>
        </w:numPr>
      </w:pPr>
      <w:r>
        <w:t xml:space="preserve">Temporary files use a predictable prefix and are cleaned up</w:t>
      </w:r>
    </w:p>
    <w:p>
      <w:pPr>
        <w:pStyle w:val="Compact"/>
        <w:numPr>
          <w:ilvl w:val="0"/>
          <w:numId w:val="1002"/>
        </w:numPr>
      </w:pPr>
      <w:r>
        <w:t xml:space="preserve">No network calls during conversion (offline-first)</w:t>
      </w:r>
    </w:p>
    <w:p>
      <w:pPr>
        <w:pStyle w:val="Compact"/>
        <w:numPr>
          <w:ilvl w:val="0"/>
          <w:numId w:val="1002"/>
        </w:numPr>
      </w:pPr>
      <w:r>
        <w:t xml:space="preserve">Subprocess isolation for pandoc and mmdc</w:t>
      </w:r>
    </w:p>
    <w:bookmarkEnd w:id="20"/>
    <w:bookmarkStart w:id="22" w:name="internationalization"/>
    <w:p>
      <w:pPr>
        <w:pStyle w:val="Heading2"/>
      </w:pPr>
      <w:r>
        <w:t xml:space="preserve">Internationalization</w:t>
      </w:r>
    </w:p>
    <w:p>
      <w:pPr>
        <w:pStyle w:val="FirstParagraph"/>
      </w:pPr>
      <w:r>
        <w:t xml:space="preserve">The reference template sets</w:t>
      </w:r>
      <w:r>
        <w:t xml:space="preserve"> </w:t>
      </w:r>
      <w:r>
        <w:rPr>
          <w:rStyle w:val="VerbatimChar"/>
        </w:rPr>
        <w:t xml:space="preserve">zh-CN</w:t>
      </w:r>
      <w:r>
        <w:t xml:space="preserve"> </w:t>
      </w:r>
      <w:r>
        <w:t xml:space="preserve">theme language and uses Microsoft YaHei for body text. English headings and code remain in Consolas. Mixed Chinese/English paragraphs render correctly without manual font switching.</w:t>
      </w:r>
    </w:p>
    <w:bookmarkStart w:id="21" w:name="中文混排示例"/>
    <w:p>
      <w:pPr>
        <w:pStyle w:val="Heading3"/>
      </w:pPr>
      <w:r>
        <w:rPr>
          <w:rFonts w:hint="eastAsia"/>
        </w:rPr>
        <w:t xml:space="preserve">中文混排示例</w:t>
      </w:r>
    </w:p>
    <w:p>
      <w:pPr>
        <w:pStyle w:val="FirstParagraph"/>
      </w:pPr>
      <w:r>
        <w:rPr>
          <w:rFonts w:hint="eastAsia"/>
        </w:rPr>
        <w:t xml:space="preserve">本编译器支持中英文混排：标题可以是</w:t>
      </w:r>
      <w:r>
        <w:t xml:space="preserve"> </w:t>
      </w:r>
      <w:r>
        <w:rPr>
          <w:rFonts w:hint="eastAsia"/>
        </w:rPr>
        <w:t xml:space="preserve">English，正文可以是中文，表格和代码块保持统一风格。这对于技术团队撰写</w:t>
      </w:r>
      <w:r>
        <w:t xml:space="preserve"> bilingual </w:t>
      </w:r>
      <w:r>
        <w:rPr>
          <w:rFonts w:hint="eastAsia"/>
        </w:rPr>
        <w:t xml:space="preserve">文档非常实用。</w:t>
      </w:r>
    </w:p>
    <w:bookmarkEnd w:id="21"/>
    <w:bookmarkEnd w:id="22"/>
    <w:bookmarkStart w:id="23" w:name="future-work"/>
    <w:p>
      <w:pPr>
        <w:pStyle w:val="Heading2"/>
      </w:pPr>
      <w:r>
        <w:t xml:space="preserve">Future Work</w:t>
      </w:r>
    </w:p>
    <w:p>
      <w:pPr>
        <w:pStyle w:val="Compact"/>
        <w:numPr>
          <w:ilvl w:val="0"/>
          <w:numId w:val="1003"/>
        </w:numPr>
      </w:pPr>
      <w:r>
        <w:t xml:space="preserve">Native Document AST (v0.2) — reduce pandoc coupling</w:t>
      </w:r>
    </w:p>
    <w:p>
      <w:pPr>
        <w:pStyle w:val="Compact"/>
        <w:numPr>
          <w:ilvl w:val="0"/>
          <w:numId w:val="1003"/>
        </w:numPr>
      </w:pPr>
      <w:r>
        <w:t xml:space="preserve">Template presets — academic, business, API reference</w:t>
      </w:r>
    </w:p>
    <w:p>
      <w:pPr>
        <w:pStyle w:val="Compact"/>
        <w:numPr>
          <w:ilvl w:val="0"/>
          <w:numId w:val="1003"/>
        </w:numPr>
      </w:pPr>
      <w:r>
        <w:t xml:space="preserve">Table of contents generation</w:t>
      </w:r>
    </w:p>
    <w:p>
      <w:pPr>
        <w:pStyle w:val="Compact"/>
        <w:numPr>
          <w:ilvl w:val="0"/>
          <w:numId w:val="1003"/>
        </w:numPr>
      </w:pPr>
      <w:r>
        <w:t xml:space="preserve">OMML math support</w:t>
      </w:r>
    </w:p>
    <w:bookmarkEnd w:id="23"/>
    <w:bookmarkStart w:id="2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focused document compiler turns AI-era Markdown workflows into deliverable Word documents with one command. The architecture prioritizes reliability, offline operation, and CJK typography over feature breadth.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Pandoc User's Guide —</w:t>
      </w:r>
      <w:r>
        <w:t xml:space="preserve"> </w:t>
      </w:r>
      <w:hyperlink r:id="rId25">
        <w:r>
          <w:rPr>
            <w:rStyle w:val="Hyperlink"/>
          </w:rPr>
          <w:t xml:space="preserve">https://pandoc.org/MANUAL.html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GitHub Flavored Markdown Spec</w:t>
      </w:r>
    </w:p>
    <w:p>
      <w:pPr>
        <w:pStyle w:val="Compact"/>
        <w:numPr>
          <w:ilvl w:val="0"/>
          <w:numId w:val="1004"/>
        </w:numPr>
      </w:pPr>
      <w:r>
        <w:t xml:space="preserve">Office Open XML (OOXML) standard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Microsoft YaHei" w:cs="Microsoft YaHei" w:eastAsia="Microsoft YaHei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36" w:line="300" w:lineRule="auto"/>
    </w:pPr>
    <w:rPr>
      <w:rFonts w:ascii="Microsoft YaHei" w:cs="Microsoft YaHei" w:eastAsia="Microsoft YaHei" w:hAnsi="Microsoft YaHe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360" w:lineRule="auto"/>
      <w:ind w:firstLine="0" w:left="360" w:right="480"/>
      <w:pBdr>
        <w:left w:color="D9D9D9" w:space="4" w:sz="12" w:val="single"/>
      </w:pBdr>
    </w:pPr>
    <w:rPr>
      <w:rFonts w:ascii="Microsoft YaHei" w:cs="Microsoft YaHei" w:eastAsia="Microsoft YaHei" w:hAnsi="Microsoft YaHei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/>
    </w:pPr>
    <w:rPr>
      <w:rFonts w:ascii="Microsoft YaHei" w:cs="Microsoft YaHei" w:eastAsia="Microsoft YaHei" w:hAnsi="Microsoft YaHei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D9D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Microsoft YaHei" w:hAnsi="Consolas"/>
      <w:color w:val="333333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basedOn w:val="Normal"/>
    <w:pPr>
      <w:spacing w:after="240" w:before="360" w:line="300" w:lineRule="auto"/>
    </w:pPr>
    <w:rPr>
      <w:rFonts w:ascii="Microsoft YaHei" w:cs="Microsoft YaHei" w:eastAsia="Microsoft YaHei" w:hAnsi="Microsoft YaHei"/>
      <w:b/>
      <w:sz w:val="36"/>
    </w:rPr>
  </w:style>
  <w:style w:customStyle="1" w:styleId="Heading2" w:type="paragraph">
    <w:name w:val="heading 2"/>
    <w:basedOn w:val="Normal"/>
    <w:pPr>
      <w:spacing w:after="160" w:before="280" w:line="300" w:lineRule="auto"/>
    </w:pPr>
    <w:rPr>
      <w:rFonts w:ascii="Microsoft YaHei" w:cs="Microsoft YaHei" w:eastAsia="Microsoft YaHei" w:hAnsi="Microsoft YaHei"/>
      <w:b/>
      <w:sz w:val="32"/>
    </w:rPr>
  </w:style>
  <w:style w:customStyle="1" w:styleId="Heading3" w:type="paragraph">
    <w:name w:val="heading 3"/>
    <w:basedOn w:val="Normal"/>
    <w:pPr>
      <w:spacing w:after="120" w:before="240" w:line="300" w:lineRule="auto"/>
    </w:pPr>
    <w:rPr>
      <w:rFonts w:ascii="Microsoft YaHei" w:cs="Microsoft YaHei" w:eastAsia="Microsoft YaHei" w:hAnsi="Microsoft YaHei"/>
      <w:b/>
      <w:sz w:val="28"/>
    </w:rPr>
  </w:style>
  <w:style w:customStyle="1" w:styleId="Heading4" w:type="paragraph">
    <w:name w:val="heading 4"/>
    <w:basedOn w:val="Normal"/>
    <w:pPr>
      <w:spacing w:after="80" w:before="200" w:line="300" w:lineRule="auto"/>
    </w:pPr>
    <w:rPr>
      <w:rFonts w:ascii="Microsoft YaHei" w:cs="Microsoft YaHei" w:eastAsia="Microsoft YaHei" w:hAnsi="Microsoft YaHei"/>
      <w:b/>
      <w:sz w:val="26"/>
    </w:rPr>
  </w:style>
  <w:style w:customStyle="1" w:styleId="Heading5" w:type="paragraph">
    <w:name w:val="heading 5"/>
    <w:basedOn w:val="Normal"/>
    <w:pPr>
      <w:spacing w:after="60" w:before="160" w:line="300" w:lineRule="auto"/>
    </w:pPr>
    <w:rPr>
      <w:rFonts w:ascii="Microsoft YaHei" w:cs="Microsoft YaHei" w:eastAsia="Microsoft YaHei" w:hAnsi="Microsoft YaHei"/>
      <w:b/>
      <w:sz w:val="24"/>
    </w:rPr>
  </w:style>
  <w:style w:customStyle="1" w:styleId="Heading6" w:type="paragraph">
    <w:name w:val="heading 6"/>
    <w:basedOn w:val="Normal"/>
    <w:pPr>
      <w:spacing w:after="60" w:before="120" w:line="300" w:lineRule="auto"/>
    </w:pPr>
    <w:rPr>
      <w:rFonts w:ascii="Microsoft YaHei" w:cs="Microsoft YaHei" w:eastAsia="Microsoft YaHei" w:hAnsi="Microsoft YaHei"/>
      <w:b/>
      <w:sz w:val="22"/>
    </w:rPr>
  </w:style>
  <w:style w:customStyle="1" w:styleId="SourceCode" w:type="paragraph">
    <w:name w:val="Source Code"/>
    <w:basedOn w:val="BodyText"/>
    <w:pPr>
      <w:spacing w:after="120" w:before="120" w:line="276" w:lineRule="auto"/>
      <w:ind w:left="0"/>
    </w:pPr>
    <w:rPr>
      <w:rFonts w:ascii="Consolas" w:cs="Consolas" w:eastAsia="Microsoft YaHei" w:hAnsi="Consolas"/>
      <w:color w:val="333333"/>
      <w:sz w:val="20"/>
    </w:rPr>
  </w:style>
  <w:style w:customStyle="1" w:styleId="CompactTable" w:type="table">
    <w:tblPr>
      <w:tblBorders>
        <w:top w:color="000000" w:space="0" w:sz="2" w:val="single"/>
        <w:left w:color="000000" w:space="0" w:sz="2" w:val="single"/>
        <w:bottom w:color="000000" w:space="0" w:sz="2" w:val="single"/>
        <w:right w:color="000000" w:space="0" w:sz="2" w:val="single"/>
        <w:insideH w:color="000000" w:space="0" w:sz="2" w:val="single"/>
        <w:insideV w:color="000000" w:space="0" w:sz="2" w:val="single"/>
      </w:tblBorders>
    </w:tblPr>
    <w:name w:val="CompactTable"/>
    <w:basedOn w:val="Table"/>
    <w:pPr>
      <w:spacing w:after="0" w:before="0"/>
    </w:pPr>
    <w:rPr>
      <w:rFonts w:ascii="Microsoft YaHei" w:cs="Microsoft YaHei" w:eastAsia="Microsoft YaHei" w:hAnsi="Microsoft YaHei"/>
      <w:sz w:val="18"/>
    </w:rPr>
    <w:tblStylePr w:type="firstRow">
      <w:rPr>
        <w:b/>
      </w:rPr>
      <w:tcPr>
        <w:shd w:color="auto" w:fill="E5E5E5" w:val="clear"/>
      </w:tcPr>
    </w:tblStyle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5" Target="https://pandoc.org/MANUA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andoc.org/MANUA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2026-09-02T01:47:20Z</dcterms:created>
  <dcterms:modified xsi:type="dcterms:W3CDTF">2026-09-02T01:47:20Z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