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Short Study on Document Compilation</w:t>
      </w:r>
    </w:p>
    <w:p>
      <w:pPr>
        <w:pStyle w:val="Heading1"/>
      </w:pPr>
      <w:r>
        <w:t>Contents</w:t>
      </w:r>
    </w:p>
    <w:p>
      <w:r>
        <w:fldChar w:fldCharType="begin"/>
      </w:r>
      <w:r>
        <w:instrText xml:space="preserve">TOC \o "1-3" \h \z \u</w:instrText>
      </w:r>
      <w:r>
        <w:fldChar w:fldCharType="separate"/>
      </w:r>
      <w:r>
        <w:t>Table of Contents</w:t>
      </w:r>
      <w:r>
        <w:fldChar w:fldCharType="end"/>
      </w:r>
    </w:p>
    <w:p>
      <w:pPr>
        <w:pStyle w:val="Heading1"/>
      </w:pPr>
      <w:r>
        <w:t xml:space="preserve">1 </w:t>
      </w:r>
      <w:r>
        <w:t>Efficient Markdown-to-DOCX Compilation for Technical Documents</w:t>
      </w:r>
    </w:p>
    <w:p>
      <w:r>
        <w:t>**Abstract**</w:t>
        <w:br/>
        <w:t>This paper presents a lightweight approach to converting Markdown technical documents into professionally formatted Word files. We evaluate a pandoc-based pipeline with custom normalization and reference templates. Results show that automated compilation reduces manual formatting time by 85% while preserving document structure.</w:t>
        <w:br/>
        <w:t>**Keywords:** document compilation, Markdown, DOCX, pandoc, technical writing</w:t>
      </w:r>
    </w:p>
    <w:p>
      <w:pPr>
        <w:pStyle w:val="Heading2"/>
      </w:pPr>
      <w:r>
        <w:t xml:space="preserve">1.1 </w:t>
      </w:r>
      <w:r>
        <w:t>1. Introduction</w:t>
      </w:r>
    </w:p>
    <w:p>
      <w:r>
        <w:t>Technical teams increasingly author content in Markdown. Final deliverables, however, often require Microsoft Word format for review, compliance, or archival purposes. Manual conversion introduces errors in tables, code blocks, and cross-references.</w:t>
      </w:r>
    </w:p>
    <w:p>
      <w:pPr>
        <w:ind w:left="720"/>
      </w:pPr>
      <w:r>
        <w:t>Prior work has focused on WYSIWYG editors or proprietary export tools. We argue that a compiler-style pipeline offers better reproducibility and version control integration.</w:t>
      </w:r>
    </w:p>
    <w:p>
      <w:pPr>
        <w:pStyle w:val="Heading2"/>
      </w:pPr>
      <w:r>
        <w:t xml:space="preserve">1.2 </w:t>
      </w:r>
      <w:r>
        <w:t>2. Related Work</w:t>
      </w:r>
    </w:p>
    <w:p>
      <w:pPr>
        <w:pStyle w:val="ListNumber"/>
        <w:numPr>
          <w:ilvl w:val="0"/>
          <w:numId w:val="1"/>
        </w:numPr>
      </w:pPr>
      <w:r>
        <w:t>Pandoc (MacFarlane, 2006–present) — universal document converter</w:t>
      </w:r>
    </w:p>
    <w:p>
      <w:pPr>
        <w:pStyle w:val="ListNumber"/>
        <w:numPr>
          <w:ilvl w:val="0"/>
          <w:numId w:val="1"/>
        </w:numPr>
      </w:pPr>
      <w:r>
        <w:t>MultiMarkdown — extended syntax with footnotes and citations</w:t>
      </w:r>
    </w:p>
    <w:p>
      <w:pPr>
        <w:pStyle w:val="ListNumber"/>
        <w:numPr>
          <w:ilvl w:val="0"/>
          <w:numId w:val="1"/>
        </w:numPr>
      </w:pPr>
      <w:r>
        <w:t>Quarto — scientific publishing with multiple output formats</w:t>
      </w:r>
    </w:p>
    <w:p>
      <w:pPr>
        <w:pStyle w:val="ListNumber"/>
        <w:numPr>
          <w:ilvl w:val="0"/>
          <w:numId w:val="1"/>
        </w:numPr>
      </w:pPr>
      <w:r>
        <w:t>Commercial tools (Pandoc Pro, Typora export) — limited automation</w:t>
      </w:r>
    </w:p>
    <w:p>
      <w:pPr>
        <w:pStyle w:val="Heading2"/>
      </w:pPr>
      <w:r>
        <w:t xml:space="preserve">1.3 </w:t>
      </w:r>
      <w:r>
        <w:t>3. Methodology</w:t>
      </w:r>
    </w:p>
    <w:p>
      <w:pPr>
        <w:pStyle w:val="Heading3"/>
      </w:pPr>
      <w:r>
        <w:t xml:space="preserve">1.3.1 </w:t>
      </w:r>
      <w:r>
        <w:t>3.1 Pipeline Design</w:t>
      </w:r>
    </w:p>
    <w:p>
      <w:r>
        <w:t>Our compiler applies three stages:</w:t>
      </w:r>
    </w:p>
    <w:p>
      <w:pPr>
        <w:pStyle w:val="ListNumber"/>
        <w:numPr>
          <w:ilvl w:val="0"/>
          <w:numId w:val="1"/>
        </w:numPr>
      </w:pPr>
      <w:r>
        <w:t>**Normalization** — deterministic text transforms</w:t>
      </w:r>
    </w:p>
    <w:p>
      <w:pPr>
        <w:pStyle w:val="ListNumber"/>
        <w:numPr>
          <w:ilvl w:val="0"/>
          <w:numId w:val="1"/>
        </w:numPr>
      </w:pPr>
      <w:r>
        <w:t>**Asset resolution** — images, optional diagram rendering</w:t>
      </w:r>
    </w:p>
    <w:p>
      <w:pPr>
        <w:pStyle w:val="ListNumber"/>
        <w:numPr>
          <w:ilvl w:val="0"/>
          <w:numId w:val="1"/>
        </w:numPr>
      </w:pPr>
      <w:r>
        <w:t>**Pandoc conversion** — GFM input, DOCX output with reference template</w:t>
      </w:r>
    </w:p>
    <w:p>
      <w:pPr>
        <w:pStyle w:val="Heading3"/>
      </w:pPr>
      <w:r>
        <w:t xml:space="preserve">1.3.2 </w:t>
      </w:r>
      <w:r>
        <w:t>3.2 Evaluation Setup</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rPr>
            </w:r>
            <w:r>
              <w:rPr>
                <w:b/>
              </w:rPr>
              <w:t>Dataset</w:t>
            </w:r>
          </w:p>
        </w:tc>
        <w:tc>
          <w:tcPr>
            <w:tcW w:type="dxa" w:w="2256"/>
          </w:tcPr>
          <w:p>
            <w:r>
              <w:rPr>
                <w:b/>
              </w:rPr>
            </w:r>
            <w:r>
              <w:rPr>
                <w:b/>
              </w:rPr>
              <w:t>Files</w:t>
            </w:r>
          </w:p>
        </w:tc>
        <w:tc>
          <w:tcPr>
            <w:tcW w:type="dxa" w:w="2256"/>
          </w:tcPr>
          <w:p>
            <w:r>
              <w:rPr>
                <w:b/>
              </w:rPr>
            </w:r>
            <w:r>
              <w:rPr>
                <w:b/>
              </w:rPr>
              <w:t>Avg. Size</w:t>
            </w:r>
          </w:p>
        </w:tc>
        <w:tc>
          <w:tcPr>
            <w:tcW w:type="dxa" w:w="2256"/>
          </w:tcPr>
          <w:p>
            <w:r>
              <w:rPr>
                <w:b/>
              </w:rPr>
            </w:r>
            <w:r>
              <w:rPr>
                <w:b/>
              </w:rPr>
              <w:t>Content Types</w:t>
            </w:r>
          </w:p>
        </w:tc>
      </w:tr>
      <w:tr>
        <w:tc>
          <w:tcPr>
            <w:tcW w:type="dxa" w:w="2256"/>
          </w:tcPr>
          <w:p>
            <w:r/>
            <w:r>
              <w:t>API docs</w:t>
            </w:r>
          </w:p>
        </w:tc>
        <w:tc>
          <w:tcPr>
            <w:tcW w:type="dxa" w:w="2256"/>
          </w:tcPr>
          <w:p>
            <w:r/>
            <w:r>
              <w:t>24</w:t>
            </w:r>
          </w:p>
        </w:tc>
        <w:tc>
          <w:tcPr>
            <w:tcW w:type="dxa" w:w="2256"/>
          </w:tcPr>
          <w:p>
            <w:r/>
            <w:r>
              <w:t>12 KB</w:t>
            </w:r>
          </w:p>
        </w:tc>
        <w:tc>
          <w:tcPr>
            <w:tcW w:type="dxa" w:w="2256"/>
          </w:tcPr>
          <w:p>
            <w:r/>
            <w:r>
              <w:t>Tables, code, HTTP examples</w:t>
            </w:r>
          </w:p>
        </w:tc>
      </w:tr>
      <w:tr>
        <w:tc>
          <w:tcPr>
            <w:tcW w:type="dxa" w:w="2256"/>
          </w:tcPr>
          <w:p>
            <w:r/>
            <w:r>
              <w:t>Reports</w:t>
            </w:r>
          </w:p>
        </w:tc>
        <w:tc>
          <w:tcPr>
            <w:tcW w:type="dxa" w:w="2256"/>
          </w:tcPr>
          <w:p>
            <w:r/>
            <w:r>
              <w:t>18</w:t>
            </w:r>
          </w:p>
        </w:tc>
        <w:tc>
          <w:tcPr>
            <w:tcW w:type="dxa" w:w="2256"/>
          </w:tcPr>
          <w:p>
            <w:r/>
            <w:r>
              <w:t>28 KB</w:t>
            </w:r>
          </w:p>
        </w:tc>
        <w:tc>
          <w:tcPr>
            <w:tcW w:type="dxa" w:w="2256"/>
          </w:tcPr>
          <w:p>
            <w:r/>
            <w:r>
              <w:t>Headings, lists, blockquotes</w:t>
            </w:r>
          </w:p>
        </w:tc>
      </w:tr>
      <w:tr>
        <w:tc>
          <w:tcPr>
            <w:tcW w:type="dxa" w:w="2256"/>
          </w:tcPr>
          <w:p>
            <w:r/>
            <w:r>
              <w:t>Mixed CJK</w:t>
            </w:r>
          </w:p>
        </w:tc>
        <w:tc>
          <w:tcPr>
            <w:tcW w:type="dxa" w:w="2256"/>
          </w:tcPr>
          <w:p>
            <w:r/>
            <w:r>
              <w:t>12</w:t>
            </w:r>
          </w:p>
        </w:tc>
        <w:tc>
          <w:tcPr>
            <w:tcW w:type="dxa" w:w="2256"/>
          </w:tcPr>
          <w:p>
            <w:r/>
            <w:r>
              <w:t>35 KB</w:t>
            </w:r>
          </w:p>
        </w:tc>
        <w:tc>
          <w:tcPr>
            <w:tcW w:type="dxa" w:w="2256"/>
          </w:tcPr>
          <w:p>
            <w:r/>
            <w:r>
              <w:t>Chinese headings, English code</w:t>
            </w:r>
          </w:p>
        </w:tc>
      </w:tr>
    </w:tbl>
    <w:p>
      <w:pPr>
        <w:pStyle w:val="Heading3"/>
      </w:pPr>
      <w:r>
        <w:t xml:space="preserve">1.3.3 </w:t>
      </w:r>
      <w:r>
        <w:t>3.3 Metrics</w:t>
      </w:r>
    </w:p>
    <w:p>
      <w:pPr>
        <w:pStyle w:val="ListBullet"/>
        <w:numPr>
          <w:ilvl w:val="0"/>
          <w:numId w:val="2"/>
        </w:numPr>
      </w:pPr>
      <w:r>
        <w:t>**Fidelity score** — manual review of 20 structural elements per document</w:t>
      </w:r>
    </w:p>
    <w:p>
      <w:pPr>
        <w:pStyle w:val="ListBullet"/>
        <w:numPr>
          <w:ilvl w:val="0"/>
          <w:numId w:val="2"/>
        </w:numPr>
      </w:pPr>
      <w:r>
        <w:t>**Time saved** — minutes of manual formatting avoided</w:t>
      </w:r>
    </w:p>
    <w:p>
      <w:pPr>
        <w:pStyle w:val="ListBullet"/>
        <w:numPr>
          <w:ilvl w:val="0"/>
          <w:numId w:val="2"/>
        </w:numPr>
      </w:pPr>
      <w:r>
        <w:t>**Error rate** — broken tables, missing code styles, font issues</w:t>
      </w:r>
    </w:p>
    <w:p>
      <w:pPr>
        <w:pStyle w:val="Heading2"/>
      </w:pPr>
      <w:r>
        <w:t xml:space="preserve">1.4 </w:t>
      </w:r>
      <w:r>
        <w:t>4. Results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rPr>
            </w:r>
            <w:r>
              <w:rPr>
                <w:b/>
              </w:rPr>
              <w:t>Metric</w:t>
            </w:r>
          </w:p>
        </w:tc>
        <w:tc>
          <w:tcPr>
            <w:tcW w:type="dxa" w:w="2256"/>
          </w:tcPr>
          <w:p>
            <w:r>
              <w:rPr>
                <w:b/>
              </w:rPr>
            </w:r>
            <w:r>
              <w:rPr>
                <w:b/>
              </w:rPr>
              <w:t>Manual</w:t>
            </w:r>
          </w:p>
        </w:tc>
        <w:tc>
          <w:tcPr>
            <w:tcW w:type="dxa" w:w="2256"/>
          </w:tcPr>
          <w:p>
            <w:r>
              <w:rPr>
                <w:b/>
              </w:rPr>
            </w:r>
            <w:r>
              <w:rPr>
                <w:b/>
              </w:rPr>
              <w:t>Compiler</w:t>
            </w:r>
          </w:p>
        </w:tc>
        <w:tc>
          <w:tcPr>
            <w:tcW w:type="dxa" w:w="2256"/>
          </w:tcPr>
          <w:p>
            <w:r>
              <w:rPr>
                <w:b/>
              </w:rPr>
            </w:r>
            <w:r>
              <w:rPr>
                <w:b/>
              </w:rPr>
              <w:t>Improvement</w:t>
            </w:r>
          </w:p>
        </w:tc>
      </w:tr>
      <w:tr>
        <w:tc>
          <w:tcPr>
            <w:tcW w:type="dxa" w:w="2256"/>
          </w:tcPr>
          <w:p>
            <w:r/>
            <w:r>
              <w:t>Avg. time per doc</w:t>
            </w:r>
          </w:p>
        </w:tc>
        <w:tc>
          <w:tcPr>
            <w:tcW w:type="dxa" w:w="2256"/>
          </w:tcPr>
          <w:p>
            <w:r/>
            <w:r>
              <w:t>18 min</w:t>
            </w:r>
          </w:p>
        </w:tc>
        <w:tc>
          <w:tcPr>
            <w:tcW w:type="dxa" w:w="2256"/>
          </w:tcPr>
          <w:p>
            <w:r/>
            <w:r>
              <w:t>2.7 min</w:t>
            </w:r>
          </w:p>
        </w:tc>
        <w:tc>
          <w:tcPr>
            <w:tcW w:type="dxa" w:w="2256"/>
          </w:tcPr>
          <w:p>
            <w:r/>
            <w:r>
              <w:t>85%</w:t>
            </w:r>
          </w:p>
        </w:tc>
      </w:tr>
      <w:tr>
        <w:tc>
          <w:tcPr>
            <w:tcW w:type="dxa" w:w="2256"/>
          </w:tcPr>
          <w:p>
            <w:r/>
            <w:r>
              <w:t>Table fidelity</w:t>
            </w:r>
          </w:p>
        </w:tc>
        <w:tc>
          <w:tcPr>
            <w:tcW w:type="dxa" w:w="2256"/>
          </w:tcPr>
          <w:p>
            <w:r/>
            <w:r>
              <w:t>72%</w:t>
            </w:r>
          </w:p>
        </w:tc>
        <w:tc>
          <w:tcPr>
            <w:tcW w:type="dxa" w:w="2256"/>
          </w:tcPr>
          <w:p>
            <w:r/>
            <w:r>
              <w:t>96%</w:t>
            </w:r>
          </w:p>
        </w:tc>
        <w:tc>
          <w:tcPr>
            <w:tcW w:type="dxa" w:w="2256"/>
          </w:tcPr>
          <w:p>
            <w:r/>
            <w:r>
              <w:t>+24pp</w:t>
            </w:r>
          </w:p>
        </w:tc>
      </w:tr>
      <w:tr>
        <w:tc>
          <w:tcPr>
            <w:tcW w:type="dxa" w:w="2256"/>
          </w:tcPr>
          <w:p>
            <w:r/>
            <w:r>
              <w:t>Code block style</w:t>
            </w:r>
          </w:p>
        </w:tc>
        <w:tc>
          <w:tcPr>
            <w:tcW w:type="dxa" w:w="2256"/>
          </w:tcPr>
          <w:p>
            <w:r/>
            <w:r>
              <w:t>65%</w:t>
            </w:r>
          </w:p>
        </w:tc>
        <w:tc>
          <w:tcPr>
            <w:tcW w:type="dxa" w:w="2256"/>
          </w:tcPr>
          <w:p>
            <w:r/>
            <w:r>
              <w:t>98%</w:t>
            </w:r>
          </w:p>
        </w:tc>
        <w:tc>
          <w:tcPr>
            <w:tcW w:type="dxa" w:w="2256"/>
          </w:tcPr>
          <w:p>
            <w:r/>
            <w:r>
              <w:t>+33pp</w:t>
            </w:r>
          </w:p>
        </w:tc>
      </w:tr>
      <w:tr>
        <w:tc>
          <w:tcPr>
            <w:tcW w:type="dxa" w:w="2256"/>
          </w:tcPr>
          <w:p>
            <w:r/>
            <w:r>
              <w:t>CJK rendering</w:t>
            </w:r>
          </w:p>
        </w:tc>
        <w:tc>
          <w:tcPr>
            <w:tcW w:type="dxa" w:w="2256"/>
          </w:tcPr>
          <w:p>
            <w:r/>
            <w:r>
              <w:t>80%</w:t>
            </w:r>
          </w:p>
        </w:tc>
        <w:tc>
          <w:tcPr>
            <w:tcW w:type="dxa" w:w="2256"/>
          </w:tcPr>
          <w:p>
            <w:r/>
            <w:r>
              <w:t>94%</w:t>
            </w:r>
          </w:p>
        </w:tc>
        <w:tc>
          <w:tcPr>
            <w:tcW w:type="dxa" w:w="2256"/>
          </w:tcPr>
          <w:p>
            <w:r/>
            <w:r>
              <w:t>+14pp</w:t>
            </w:r>
          </w:p>
        </w:tc>
      </w:tr>
    </w:tbl>
    <w:p>
      <w:pPr>
        <w:ind w:left="720"/>
      </w:pPr>
      <w:r>
        <w:t>Blockquote preservation improved from 55% (copy-paste) to 92% (compiled).</w:t>
      </w:r>
    </w:p>
    <w:p>
      <w:pPr>
        <w:pStyle w:val="Heading2"/>
      </w:pPr>
      <w:r>
        <w:t xml:space="preserve">1.5 </w:t>
      </w:r>
      <w:r>
        <w:t>5. Discussion</w:t>
      </w:r>
    </w:p>
    <w:p>
      <w:r>
        <w:t>The normalization layer contributes most to fidelity gains. Tables with inconsistent column alignment are the primary failure mode when normalization is skipped.</w:t>
        <w:br/>
        <w:t>Limitations include:</w:t>
      </w:r>
    </w:p>
    <w:p>
      <w:pPr>
        <w:pStyle w:val="ListBullet"/>
        <w:numPr>
          <w:ilvl w:val="0"/>
          <w:numId w:val="2"/>
        </w:numPr>
      </w:pPr>
      <w:r>
        <w:t>No native math (OMML) support in v0.1</w:t>
      </w:r>
    </w:p>
    <w:p>
      <w:pPr>
        <w:pStyle w:val="ListBullet"/>
        <w:numPr>
          <w:ilvl w:val="0"/>
          <w:numId w:val="2"/>
        </w:numPr>
      </w:pPr>
      <w:r>
        <w:t>Mermaid diagrams require external `mmdc` binary</w:t>
      </w:r>
    </w:p>
    <w:p>
      <w:pPr>
        <w:pStyle w:val="ListBullet"/>
        <w:numPr>
          <w:ilvl w:val="0"/>
          <w:numId w:val="2"/>
        </w:numPr>
      </w:pPr>
      <w:r>
        <w:t>Custom Word styles beyond the reference template need manual post-editing</w:t>
      </w:r>
    </w:p>
    <w:p>
      <w:pPr>
        <w:pStyle w:val="Heading2"/>
      </w:pPr>
      <w:r>
        <w:t xml:space="preserve">1.6 </w:t>
      </w:r>
      <w:r>
        <w:t>6. Conclusion</w:t>
      </w:r>
    </w:p>
    <w:p>
      <w:r>
        <w:t>A compiler-style Markdown-to-DOCX pipeline is practical for technical teams. Future work will introduce a Document AST to reduce pandoc coupling and enable template presets.</w:t>
      </w:r>
    </w:p>
    <w:p>
      <w:pPr>
        <w:pStyle w:val="Heading2"/>
      </w:pPr>
      <w:r>
        <w:t xml:space="preserve">1.7 </w:t>
      </w:r>
      <w:r>
        <w:t>References</w:t>
      </w:r>
    </w:p>
    <w:p>
      <w:pPr>
        <w:pStyle w:val="ListNumber"/>
        <w:numPr>
          <w:ilvl w:val="0"/>
          <w:numId w:val="1"/>
        </w:numPr>
      </w:pPr>
      <w:r>
        <w:t>MacFarlane, J. (2024). *Pandoc User's Guide*.</w:t>
      </w:r>
    </w:p>
    <w:p>
      <w:pPr>
        <w:pStyle w:val="ListNumber"/>
        <w:numPr>
          <w:ilvl w:val="0"/>
          <w:numId w:val="1"/>
        </w:numPr>
      </w:pPr>
      <w:r>
        <w:t>Gruber, J. (2004). *Markdown: Syntax Documentation*.</w:t>
      </w:r>
    </w:p>
    <w:p>
      <w:pPr>
        <w:pStyle w:val="ListNumber"/>
        <w:numPr>
          <w:ilvl w:val="0"/>
          <w:numId w:val="1"/>
        </w:numPr>
      </w:pPr>
      <w:r>
        <w:t>ISO/IEC 29500. *Office Open XML File Formats*.</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t>1</w:t>
    </w:r>
    <w:r>
      <w:fldChar w:fldCharType="end"/>
    </w:r>
    <w:r>
      <w:fldChar w:fldCharType="begin"/>
    </w:r>
    <w:r>
      <w:instrText xml:space="preserve">PAGE</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A Short Study on Document Compilation</w:t>
    </w:r>
    <w:r>
      <w:tab/>
    </w:r>
    <w:r>
      <w:rPr>
        <w:b w:val="0"/>
      </w:rPr>
      <w:t>md-to-docx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pPr>
    <w:rPr>
      <w:rFonts w:ascii="Times New Roman" w:hAnsi="Times New Roman" w:cs="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eastAsia="SimSun"/>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eastAsia="SimSun"/>
      <w:b/>
      <w:bCs/>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eastAsia="SimSun"/>
      <w:b/>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cs="Times New Roman" w:eastAsia="SimSun"/>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s="Times New Roman" w:eastAsia="SimSun"/>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cs="Times New Roman" w:eastAsia="SimSun"/>
      <w:b/>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cs="Calibri" w:eastAsia="Microsoft YaHei"/>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DCodeBlock">
    <w:name w:val="MDCodeBlock"/>
    <w:pPr>
      <w:spacing w:before="120" w:after="120"/>
      <w:shd w:fill="F5F5F5"/>
      <w:shd w:fill="F5F5F5"/>
    </w:pPr>
    <w:rPr>
      <w:rFonts w:ascii="Consolas" w:hAnsi="Consolas" w:cs="Consolas" w:eastAsia="Microsoft YaHe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