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Contents</w:t>
      </w:r>
    </w:p>
    <w:p>
      <w:r>
        <w:fldChar w:fldCharType="begin"/>
      </w:r>
      <w:r>
        <w:instrText xml:space="preserve">TOC \o "1-3" \h \z \u</w:instrText>
      </w:r>
      <w:r>
        <w:fldChar w:fldCharType="separate"/>
      </w:r>
      <w:r>
        <w:t>Table of Contents</w:t>
      </w:r>
      <w:r>
        <w:fldChar w:fldCharType="end"/>
      </w:r>
    </w:p>
    <w:p>
      <w:pPr>
        <w:pStyle w:val="Heading1"/>
      </w:pPr>
      <w:r>
        <w:t>Real-Time Document Sync System — Technical Proposal</w:t>
      </w:r>
    </w:p>
    <w:p>
      <w:pPr>
        <w:pStyle w:val="ListBullet"/>
        <w:numPr>
          <w:ilvl w:val="0"/>
          <w:numId w:val="2"/>
        </w:numPr>
      </w:pPr>
      <w:r>
        <w:t>Generated by Claude · September 2026 · Review before implementation</w:t>
      </w:r>
    </w:p>
    <w:p/>
    <w:p>
      <w:pPr>
        <w:pStyle w:val="Heading2"/>
      </w:pPr>
      <w:r>
        <w:t>Overview</w:t>
      </w:r>
    </w:p>
    <w:p>
      <w:r>
        <w:t>This document proposes a real-time document synchronization system that allows multiple users to edit Markdown source files and automatically compile them into Word documents. The system targets teams that use AI assistants for drafting and need a reliable path to polished deliverables.</w:t>
        <w:br/>
        <w:t>The core value proposition is simple: **write in Markdown, deliver in Word, without manual reformatting.**</w:t>
      </w:r>
    </w:p>
    <w:p>
      <w:pPr>
        <w:pStyle w:val="Heading2"/>
      </w:pPr>
      <w:r>
        <w:t>Problem Statement</w:t>
      </w:r>
    </w:p>
    <w:p>
      <w:r>
        <w:t>Teams today face a fragmented workflow:</w:t>
      </w:r>
    </w:p>
    <w:p>
      <w:pPr>
        <w:pStyle w:val="ListNumber"/>
        <w:numPr>
          <w:ilvl w:val="0"/>
          <w:numId w:val="1"/>
        </w:numPr>
      </w:pPr>
      <w:r>
        <w:t>Draft content in ChatGPT, Claude, or Cursor</w:t>
      </w:r>
    </w:p>
    <w:p>
      <w:pPr>
        <w:pStyle w:val="ListNumber"/>
        <w:numPr>
          <w:ilvl w:val="0"/>
          <w:numId w:val="1"/>
        </w:numPr>
      </w:pPr>
      <w:r>
        <w:t>Copy Markdown into a shared drive or wiki</w:t>
      </w:r>
    </w:p>
    <w:p>
      <w:pPr>
        <w:pStyle w:val="ListNumber"/>
        <w:numPr>
          <w:ilvl w:val="0"/>
          <w:numId w:val="1"/>
        </w:numPr>
      </w:pPr>
      <w:r>
        <w:t>Manually paste into Word and fix formatting</w:t>
      </w:r>
    </w:p>
    <w:p>
      <w:pPr>
        <w:pStyle w:val="ListNumber"/>
        <w:numPr>
          <w:ilvl w:val="0"/>
          <w:numId w:val="1"/>
        </w:numPr>
      </w:pPr>
      <w:r>
        <w:t>Send to stakeholders who require `.docx` format</w:t>
        <w:br/>
        <w:t>This process is error-prone, time-consuming, and does not scale.</w:t>
      </w:r>
    </w:p>
    <w:p>
      <w:pPr>
        <w:pStyle w:val="Heading2"/>
      </w:pPr>
      <w:r>
        <w:t>Proposed Design</w:t>
      </w:r>
    </w:p>
    <w:p>
      <w:pPr>
        <w:pStyle w:val="Heading3"/>
      </w:pPr>
      <w:r>
        <w:t>Architecture</w:t>
      </w:r>
    </w:p>
    <w:p>
      <w:r>
        <w:t>The system consists of four layers:</w:t>
      </w:r>
    </w:p>
    <w:tbl>
      <w:tblPr>
        <w:tblStyle w:val="TableGrid"/>
        <w:tblW w:type="auto" w:w="0"/>
        <w:tblLook w:firstColumn="1" w:firstRow="1" w:lastColumn="0" w:lastRow="0" w:noHBand="0" w:noVBand="1" w:val="04A0"/>
      </w:tblPr>
      <w:tblGrid>
        <w:gridCol w:w="3009"/>
        <w:gridCol w:w="3009"/>
        <w:gridCol w:w="3009"/>
      </w:tblGrid>
      <w:tr>
        <w:tc>
          <w:tcPr>
            <w:tcW w:type="dxa" w:w="3009"/>
          </w:tcPr>
          <w:p>
            <w:r>
              <w:rPr>
                <w:b/>
              </w:rPr>
            </w:r>
            <w:r>
              <w:rPr>
                <w:b/>
              </w:rPr>
              <w:t>Layer</w:t>
            </w:r>
          </w:p>
        </w:tc>
        <w:tc>
          <w:tcPr>
            <w:tcW w:type="dxa" w:w="3009"/>
          </w:tcPr>
          <w:p>
            <w:r>
              <w:rPr>
                <w:b/>
              </w:rPr>
            </w:r>
            <w:r>
              <w:rPr>
                <w:b/>
              </w:rPr>
              <w:t>Responsibility</w:t>
            </w:r>
          </w:p>
        </w:tc>
        <w:tc>
          <w:tcPr>
            <w:tcW w:type="dxa" w:w="3009"/>
          </w:tcPr>
          <w:p>
            <w:r>
              <w:rPr>
                <w:b/>
              </w:rPr>
            </w:r>
            <w:r>
              <w:rPr>
                <w:b/>
              </w:rPr>
              <w:t>Technology</w:t>
            </w:r>
          </w:p>
        </w:tc>
      </w:tr>
      <w:tr>
        <w:tc>
          <w:tcPr>
            <w:tcW w:type="dxa" w:w="3009"/>
          </w:tcPr>
          <w:p>
            <w:r/>
            <w:r>
              <w:t>Ingestion</w:t>
            </w:r>
          </w:p>
        </w:tc>
        <w:tc>
          <w:tcPr>
            <w:tcW w:type="dxa" w:w="3009"/>
          </w:tcPr>
          <w:p>
            <w:r/>
            <w:r>
              <w:t>Accept Markdown from files, API, or clipboard</w:t>
            </w:r>
          </w:p>
        </w:tc>
        <w:tc>
          <w:tcPr>
            <w:tcW w:type="dxa" w:w="3009"/>
          </w:tcPr>
          <w:p>
            <w:r/>
            <w:r>
              <w:t>Python CLI</w:t>
            </w:r>
          </w:p>
        </w:tc>
      </w:tr>
      <w:tr>
        <w:tc>
          <w:tcPr>
            <w:tcW w:type="dxa" w:w="3009"/>
          </w:tcPr>
          <w:p>
            <w:r/>
            <w:r>
              <w:t>Normalization</w:t>
            </w:r>
          </w:p>
        </w:tc>
        <w:tc>
          <w:tcPr>
            <w:tcW w:type="dxa" w:w="3009"/>
          </w:tcPr>
          <w:p>
            <w:r/>
            <w:r>
              <w:t>Fix tables, headings, code blocks</w:t>
            </w:r>
          </w:p>
        </w:tc>
        <w:tc>
          <w:tcPr>
            <w:tcW w:type="dxa" w:w="3009"/>
          </w:tcPr>
          <w:p>
            <w:r/>
            <w:r>
              <w:t>Custom normalizer</w:t>
            </w:r>
          </w:p>
        </w:tc>
      </w:tr>
      <w:tr>
        <w:tc>
          <w:tcPr>
            <w:tcW w:type="dxa" w:w="3009"/>
          </w:tcPr>
          <w:p>
            <w:r/>
            <w:r>
              <w:t>Compilation</w:t>
            </w:r>
          </w:p>
        </w:tc>
        <w:tc>
          <w:tcPr>
            <w:tcW w:type="dxa" w:w="3009"/>
          </w:tcPr>
          <w:p>
            <w:r/>
            <w:r>
              <w:t>Markdown → DOCX</w:t>
            </w:r>
          </w:p>
        </w:tc>
        <w:tc>
          <w:tcPr>
            <w:tcW w:type="dxa" w:w="3009"/>
          </w:tcPr>
          <w:p>
            <w:r/>
            <w:r>
              <w:t>Pandoc + reference template</w:t>
            </w:r>
          </w:p>
        </w:tc>
      </w:tr>
      <w:tr>
        <w:tc>
          <w:tcPr>
            <w:tcW w:type="dxa" w:w="3009"/>
          </w:tcPr>
          <w:p>
            <w:r/>
            <w:r>
              <w:t>Distribution</w:t>
            </w:r>
          </w:p>
        </w:tc>
        <w:tc>
          <w:tcPr>
            <w:tcW w:type="dxa" w:w="3009"/>
          </w:tcPr>
          <w:p>
            <w:r/>
            <w:r>
              <w:t>Store, version, and share output</w:t>
            </w:r>
          </w:p>
        </w:tc>
        <w:tc>
          <w:tcPr>
            <w:tcW w:type="dxa" w:w="3009"/>
          </w:tcPr>
          <w:p>
            <w:r/>
            <w:r>
              <w:t>File system / S3</w:t>
            </w:r>
          </w:p>
        </w:tc>
      </w:tr>
    </w:tbl>
    <w:p>
      <w:pPr>
        <w:pStyle w:val="Heading3"/>
      </w:pPr>
      <w:r>
        <w:t>Data Flow</w:t>
      </w:r>
    </w:p>
    <w:p>
      <w:pPr>
        <w:pStyle w:val="MDCodeBlock"/>
      </w:pPr>
    </w:p>
    <w:p>
      <w:pPr>
        <w:pStyle w:val="MDCodeBlock"/>
      </w:pPr>
      <w:r>
        <w:t>User Markdown → Normalize → Pandoc → DOCX → Deliver</w:t>
      </w:r>
    </w:p>
    <w:p>
      <w:pPr>
        <w:pStyle w:val="MDCodeBlock"/>
      </w:pPr>
      <w:r>
        <w:t xml:space="preserve">                    ↓</w:t>
      </w:r>
    </w:p>
    <w:p>
      <w:pPr>
        <w:pStyle w:val="MDCodeBlock"/>
      </w:pPr>
      <w:r>
        <w:t xml:space="preserve">              Optional: Mermaid → PNG</w:t>
      </w:r>
    </w:p>
    <w:p>
      <w:pPr>
        <w:pStyle w:val="Heading3"/>
      </w:pPr>
      <w:r>
        <w:t>Key Design Decisions</w:t>
      </w:r>
    </w:p>
    <w:p>
      <w:pPr>
        <w:pStyle w:val="ListNumber"/>
        <w:numPr>
          <w:ilvl w:val="0"/>
          <w:numId w:val="1"/>
        </w:numPr>
      </w:pPr>
      <w:r>
        <w:t>**Compiler, not editor** — The system does not attempt WYSIWYG editing. It compiles source to output.</w:t>
      </w:r>
    </w:p>
    <w:p>
      <w:pPr>
        <w:pStyle w:val="ListNumber"/>
        <w:numPr>
          <w:ilvl w:val="0"/>
          <w:numId w:val="1"/>
        </w:numPr>
      </w:pPr>
      <w:r>
        <w:t>**Source immutability** — Original `.md` files are never modified. Output is written alongside source.</w:t>
      </w:r>
    </w:p>
    <w:p>
      <w:pPr>
        <w:pStyle w:val="ListNumber"/>
        <w:numPr>
          <w:ilvl w:val="0"/>
          <w:numId w:val="1"/>
        </w:numPr>
      </w:pPr>
      <w:r>
        <w:t>**Offline-first** — No network required for conversion. Cloud sync is optional.</w:t>
      </w:r>
    </w:p>
    <w:p>
      <w:pPr>
        <w:pStyle w:val="ListNumber"/>
        <w:numPr>
          <w:ilvl w:val="0"/>
          <w:numId w:val="1"/>
        </w:numPr>
      </w:pPr>
      <w:r>
        <w:t>**Fail-safe batch** — Per-file error isolation; one failure does not abort the batch.</w:t>
      </w:r>
    </w:p>
    <w:p>
      <w:pPr>
        <w:pStyle w:val="Heading2"/>
      </w:pPr>
      <w:r>
        <w:t>Component Details</w:t>
      </w:r>
    </w:p>
    <w:p>
      <w:pPr>
        <w:pStyle w:val="Heading3"/>
      </w:pPr>
      <w:r>
        <w:t>Normalization Engine</w:t>
      </w:r>
    </w:p>
    <w:p>
      <w:r>
        <w:t>Before pandoc processes the file, a normalization pass applies:</w:t>
      </w:r>
    </w:p>
    <w:p>
      <w:pPr>
        <w:pStyle w:val="ListBullet"/>
        <w:numPr>
          <w:ilvl w:val="0"/>
          <w:numId w:val="2"/>
        </w:numPr>
      </w:pPr>
      <w:r>
        <w:t>Table column alignment fixes</w:t>
      </w:r>
    </w:p>
    <w:p>
      <w:pPr>
        <w:pStyle w:val="ListBullet"/>
        <w:numPr>
          <w:ilvl w:val="0"/>
          <w:numId w:val="2"/>
        </w:numPr>
      </w:pPr>
      <w:r>
        <w:t>Heading level consistency</w:t>
      </w:r>
    </w:p>
    <w:p>
      <w:pPr>
        <w:pStyle w:val="ListBullet"/>
        <w:numPr>
          <w:ilvl w:val="0"/>
          <w:numId w:val="2"/>
        </w:numPr>
      </w:pPr>
      <w:r>
        <w:t>Code fence language tag validation</w:t>
      </w:r>
    </w:p>
    <w:p>
      <w:pPr>
        <w:pStyle w:val="ListBullet"/>
        <w:numPr>
          <w:ilvl w:val="0"/>
          <w:numId w:val="2"/>
        </w:numPr>
      </w:pPr>
      <w:r>
        <w:t>CJK heading number formatting</w:t>
      </w:r>
    </w:p>
    <w:p>
      <w:pPr>
        <w:pStyle w:val="ListBullet"/>
        <w:numPr>
          <w:ilvl w:val="0"/>
          <w:numId w:val="2"/>
        </w:numPr>
      </w:pPr>
      <w:r>
        <w:t>Excessive blank line removal</w:t>
      </w:r>
    </w:p>
    <w:p>
      <w:pPr>
        <w:pStyle w:val="Heading3"/>
      </w:pPr>
      <w:r>
        <w:t>Reference Template</w:t>
      </w:r>
    </w:p>
    <w:p>
      <w:r>
        <w:t>The Word output uses a custom reference document with:</w:t>
      </w:r>
    </w:p>
    <w:p>
      <w:pPr>
        <w:pStyle w:val="ListBullet"/>
        <w:numPr>
          <w:ilvl w:val="0"/>
          <w:numId w:val="2"/>
        </w:numPr>
      </w:pPr>
      <w:r>
        <w:t>Microsoft YaHei for body text (CJK support)</w:t>
      </w:r>
    </w:p>
    <w:p>
      <w:pPr>
        <w:pStyle w:val="ListBullet"/>
        <w:numPr>
          <w:ilvl w:val="0"/>
          <w:numId w:val="2"/>
        </w:numPr>
      </w:pPr>
      <w:r>
        <w:t>Consolas for code blocks</w:t>
      </w:r>
    </w:p>
    <w:p>
      <w:pPr>
        <w:pStyle w:val="ListBullet"/>
        <w:numPr>
          <w:ilvl w:val="0"/>
          <w:numId w:val="2"/>
        </w:numPr>
      </w:pPr>
      <w:r>
        <w:t>Compact table style for wide tables</w:t>
      </w:r>
    </w:p>
    <w:p>
      <w:pPr>
        <w:pStyle w:val="ListBullet"/>
        <w:numPr>
          <w:ilvl w:val="0"/>
          <w:numId w:val="2"/>
        </w:numPr>
      </w:pPr>
      <w:r>
        <w:t>H1–H6 heading hierarchy</w:t>
      </w:r>
    </w:p>
    <w:p>
      <w:pPr>
        <w:pStyle w:val="Heading3"/>
      </w:pPr>
      <w:r>
        <w:t>Mermaid Support</w:t>
      </w:r>
    </w:p>
    <w:p>
      <w:r>
        <w:t>Diagrams in ` ```mermaid ` fences are pre-rendered to PNG via `mmdc`. This is optional — files without Mermaid blocks require only pandoc.</w:t>
      </w:r>
    </w:p>
    <w:p>
      <w:pPr>
        <w:pStyle w:val="Heading2"/>
      </w:pPr>
      <w:r>
        <w:t>Risks and Mitigations</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b/>
              </w:rPr>
            </w:r>
            <w:r>
              <w:rPr>
                <w:b/>
              </w:rPr>
              <w:t>Risk</w:t>
            </w:r>
          </w:p>
        </w:tc>
        <w:tc>
          <w:tcPr>
            <w:tcW w:type="dxa" w:w="2256"/>
          </w:tcPr>
          <w:p>
            <w:r>
              <w:rPr>
                <w:b/>
              </w:rPr>
            </w:r>
            <w:r>
              <w:rPr>
                <w:b/>
              </w:rPr>
              <w:t>Impact</w:t>
            </w:r>
          </w:p>
        </w:tc>
        <w:tc>
          <w:tcPr>
            <w:tcW w:type="dxa" w:w="2256"/>
          </w:tcPr>
          <w:p>
            <w:r>
              <w:rPr>
                <w:b/>
              </w:rPr>
            </w:r>
            <w:r>
              <w:rPr>
                <w:b/>
              </w:rPr>
              <w:t>Likelihood</w:t>
            </w:r>
          </w:p>
        </w:tc>
        <w:tc>
          <w:tcPr>
            <w:tcW w:type="dxa" w:w="2256"/>
          </w:tcPr>
          <w:p>
            <w:r>
              <w:rPr>
                <w:b/>
              </w:rPr>
            </w:r>
            <w:r>
              <w:rPr>
                <w:b/>
              </w:rPr>
              <w:t>Mitigation</w:t>
            </w:r>
          </w:p>
        </w:tc>
      </w:tr>
      <w:tr>
        <w:tc>
          <w:tcPr>
            <w:tcW w:type="dxa" w:w="2256"/>
          </w:tcPr>
          <w:p>
            <w:r/>
            <w:r>
              <w:t>Pandoc version differences</w:t>
            </w:r>
          </w:p>
        </w:tc>
        <w:tc>
          <w:tcPr>
            <w:tcW w:type="dxa" w:w="2256"/>
          </w:tcPr>
          <w:p>
            <w:r/>
            <w:r>
              <w:t>Medium</w:t>
            </w:r>
          </w:p>
        </w:tc>
        <w:tc>
          <w:tcPr>
            <w:tcW w:type="dxa" w:w="2256"/>
          </w:tcPr>
          <w:p>
            <w:r/>
            <w:r>
              <w:t>Medium</w:t>
            </w:r>
          </w:p>
        </w:tc>
        <w:tc>
          <w:tcPr>
            <w:tcW w:type="dxa" w:w="2256"/>
          </w:tcPr>
          <w:p>
            <w:r/>
            <w:r>
              <w:t>Pin pandoc 3.x in CI</w:t>
            </w:r>
          </w:p>
        </w:tc>
      </w:tr>
      <w:tr>
        <w:tc>
          <w:tcPr>
            <w:tcW w:type="dxa" w:w="2256"/>
          </w:tcPr>
          <w:p>
            <w:r/>
            <w:r>
              <w:t>Large file performance</w:t>
            </w:r>
          </w:p>
        </w:tc>
        <w:tc>
          <w:tcPr>
            <w:tcW w:type="dxa" w:w="2256"/>
          </w:tcPr>
          <w:p>
            <w:r/>
            <w:r>
              <w:t>Low</w:t>
            </w:r>
          </w:p>
        </w:tc>
        <w:tc>
          <w:tcPr>
            <w:tcW w:type="dxa" w:w="2256"/>
          </w:tcPr>
          <w:p>
            <w:r/>
            <w:r>
              <w:t>Low</w:t>
            </w:r>
          </w:p>
        </w:tc>
        <w:tc>
          <w:tcPr>
            <w:tcW w:type="dxa" w:w="2256"/>
          </w:tcPr>
          <w:p>
            <w:r/>
            <w:r>
              <w:t>Streaming normalization</w:t>
            </w:r>
          </w:p>
        </w:tc>
      </w:tr>
      <w:tr>
        <w:tc>
          <w:tcPr>
            <w:tcW w:type="dxa" w:w="2256"/>
          </w:tcPr>
          <w:p>
            <w:r/>
            <w:r>
              <w:t>Font availability on target</w:t>
            </w:r>
          </w:p>
        </w:tc>
        <w:tc>
          <w:tcPr>
            <w:tcW w:type="dxa" w:w="2256"/>
          </w:tcPr>
          <w:p>
            <w:r/>
            <w:r>
              <w:t>Medium</w:t>
            </w:r>
          </w:p>
        </w:tc>
        <w:tc>
          <w:tcPr>
            <w:tcW w:type="dxa" w:w="2256"/>
          </w:tcPr>
          <w:p>
            <w:r/>
            <w:r>
              <w:t>Low</w:t>
            </w:r>
          </w:p>
        </w:tc>
        <w:tc>
          <w:tcPr>
            <w:tcW w:type="dxa" w:w="2256"/>
          </w:tcPr>
          <w:p>
            <w:r/>
            <w:r>
              <w:t>Embed fonts in template</w:t>
            </w:r>
          </w:p>
        </w:tc>
      </w:tr>
      <w:tr>
        <w:tc>
          <w:tcPr>
            <w:tcW w:type="dxa" w:w="2256"/>
          </w:tcPr>
          <w:p>
            <w:r/>
            <w:r>
              <w:t>AI-generated malformed tables</w:t>
            </w:r>
          </w:p>
        </w:tc>
        <w:tc>
          <w:tcPr>
            <w:tcW w:type="dxa" w:w="2256"/>
          </w:tcPr>
          <w:p>
            <w:r/>
            <w:r>
              <w:t>High</w:t>
            </w:r>
          </w:p>
        </w:tc>
        <w:tc>
          <w:tcPr>
            <w:tcW w:type="dxa" w:w="2256"/>
          </w:tcPr>
          <w:p>
            <w:r/>
            <w:r>
              <w:t>High</w:t>
            </w:r>
          </w:p>
        </w:tc>
        <w:tc>
          <w:tcPr>
            <w:tcW w:type="dxa" w:w="2256"/>
          </w:tcPr>
          <w:p>
            <w:r/>
            <w:r>
              <w:t>Robust normalizer + tests</w:t>
            </w:r>
          </w:p>
        </w:tc>
      </w:tr>
    </w:tbl>
    <w:p>
      <w:pPr>
        <w:pStyle w:val="Heading2"/>
      </w:pPr>
      <w:r>
        <w:t>Implementation Plan</w:t>
      </w:r>
    </w:p>
    <w:p>
      <w:pPr>
        <w:pStyle w:val="Heading3"/>
      </w:pPr>
      <w:r>
        <w:t>Phase 1 (Current — v0.1)</w:t>
      </w:r>
    </w:p>
    <w:p>
      <w:pPr>
        <w:pStyle w:val="ListBullet"/>
        <w:numPr>
          <w:ilvl w:val="0"/>
          <w:numId w:val="2"/>
        </w:numPr>
      </w:pPr>
      <w:r>
        <w:t>CLI with batch conversion</w:t>
      </w:r>
    </w:p>
    <w:p>
      <w:pPr>
        <w:pStyle w:val="ListBullet"/>
        <w:numPr>
          <w:ilvl w:val="0"/>
          <w:numId w:val="2"/>
        </w:numPr>
      </w:pPr>
      <w:r>
        <w:t>CJK-aware reference template</w:t>
      </w:r>
    </w:p>
    <w:p>
      <w:pPr>
        <w:pStyle w:val="ListBullet"/>
        <w:numPr>
          <w:ilvl w:val="0"/>
          <w:numId w:val="2"/>
        </w:numPr>
      </w:pPr>
      <w:r>
        <w:t>Mermaid → PNG pipeline</w:t>
      </w:r>
    </w:p>
    <w:p>
      <w:pPr>
        <w:pStyle w:val="ListBullet"/>
        <w:numPr>
          <w:ilvl w:val="0"/>
          <w:numId w:val="2"/>
        </w:numPr>
      </w:pPr>
      <w:r>
        <w:t>Cursor Agent Skill integration</w:t>
      </w:r>
    </w:p>
    <w:p>
      <w:pPr>
        <w:pStyle w:val="Heading3"/>
      </w:pPr>
      <w:r>
        <w:t>Phase 2 (v0.2)</w:t>
      </w:r>
    </w:p>
    <w:p>
      <w:pPr>
        <w:pStyle w:val="ListBullet"/>
        <w:numPr>
          <w:ilvl w:val="0"/>
          <w:numId w:val="2"/>
        </w:numPr>
      </w:pPr>
      <w:r>
        <w:t>Native Document AST</w:t>
      </w:r>
    </w:p>
    <w:p>
      <w:pPr>
        <w:pStyle w:val="ListBullet"/>
        <w:numPr>
          <w:ilvl w:val="0"/>
          <w:numId w:val="2"/>
        </w:numPr>
      </w:pPr>
      <w:r>
        <w:t>Template presets (academic, business, API)</w:t>
      </w:r>
    </w:p>
    <w:p>
      <w:pPr>
        <w:pStyle w:val="ListBullet"/>
        <w:numPr>
          <w:ilvl w:val="0"/>
          <w:numId w:val="2"/>
        </w:numPr>
      </w:pPr>
      <w:r>
        <w:t>`--preset` flag</w:t>
      </w:r>
    </w:p>
    <w:p>
      <w:pPr>
        <w:pStyle w:val="Heading3"/>
      </w:pPr>
      <w:r>
        <w:t>Phase 3 (v0.3+)</w:t>
      </w:r>
    </w:p>
    <w:p>
      <w:pPr>
        <w:pStyle w:val="ListBullet"/>
        <w:numPr>
          <w:ilvl w:val="0"/>
          <w:numId w:val="2"/>
        </w:numPr>
      </w:pPr>
      <w:r>
        <w:t>Table of contents generation</w:t>
      </w:r>
    </w:p>
    <w:p>
      <w:pPr>
        <w:pStyle w:val="ListBullet"/>
        <w:numPr>
          <w:ilvl w:val="0"/>
          <w:numId w:val="2"/>
        </w:numPr>
      </w:pPr>
      <w:r>
        <w:t>OMML math support</w:t>
      </w:r>
    </w:p>
    <w:p>
      <w:pPr>
        <w:pStyle w:val="ListBullet"/>
        <w:numPr>
          <w:ilvl w:val="0"/>
          <w:numId w:val="2"/>
        </w:numPr>
      </w:pPr>
      <w:r>
        <w:t>Cross-reference resolution</w:t>
      </w:r>
    </w:p>
    <w:p>
      <w:pPr>
        <w:pStyle w:val="Heading2"/>
      </w:pPr>
      <w:r>
        <w:t>Success Metrics</w:t>
      </w:r>
    </w:p>
    <w:tbl>
      <w:tblPr>
        <w:tblStyle w:val="TableGrid"/>
        <w:tblW w:type="auto" w:w="0"/>
        <w:tblLook w:firstColumn="1" w:firstRow="1" w:lastColumn="0" w:lastRow="0" w:noHBand="0" w:noVBand="1" w:val="04A0"/>
      </w:tblPr>
      <w:tblGrid>
        <w:gridCol w:w="3009"/>
        <w:gridCol w:w="3009"/>
        <w:gridCol w:w="3009"/>
      </w:tblGrid>
      <w:tr>
        <w:tc>
          <w:tcPr>
            <w:tcW w:type="dxa" w:w="3009"/>
          </w:tcPr>
          <w:p>
            <w:r>
              <w:rPr>
                <w:b/>
              </w:rPr>
            </w:r>
            <w:r>
              <w:rPr>
                <w:b/>
              </w:rPr>
              <w:t>Metric</w:t>
            </w:r>
          </w:p>
        </w:tc>
        <w:tc>
          <w:tcPr>
            <w:tcW w:type="dxa" w:w="3009"/>
          </w:tcPr>
          <w:p>
            <w:r>
              <w:rPr>
                <w:b/>
              </w:rPr>
            </w:r>
            <w:r>
              <w:rPr>
                <w:b/>
              </w:rPr>
              <w:t>Target</w:t>
            </w:r>
          </w:p>
        </w:tc>
        <w:tc>
          <w:tcPr>
            <w:tcW w:type="dxa" w:w="3009"/>
          </w:tcPr>
          <w:p>
            <w:r>
              <w:rPr>
                <w:b/>
              </w:rPr>
            </w:r>
            <w:r>
              <w:rPr>
                <w:b/>
              </w:rPr>
              <w:t>Measurement</w:t>
            </w:r>
          </w:p>
        </w:tc>
      </w:tr>
      <w:tr>
        <w:tc>
          <w:tcPr>
            <w:tcW w:type="dxa" w:w="3009"/>
          </w:tcPr>
          <w:p>
            <w:r/>
            <w:r>
              <w:t>Conversion success rate</w:t>
            </w:r>
          </w:p>
        </w:tc>
        <w:tc>
          <w:tcPr>
            <w:tcW w:type="dxa" w:w="3009"/>
          </w:tcPr>
          <w:p>
            <w:r/>
            <w:r>
              <w:t>&gt; 99%</w:t>
            </w:r>
          </w:p>
        </w:tc>
        <w:tc>
          <w:tcPr>
            <w:tcW w:type="dxa" w:w="3009"/>
          </w:tcPr>
          <w:p>
            <w:r/>
            <w:r>
              <w:t>CI test suite</w:t>
            </w:r>
          </w:p>
        </w:tc>
      </w:tr>
      <w:tr>
        <w:tc>
          <w:tcPr>
            <w:tcW w:type="dxa" w:w="3009"/>
          </w:tcPr>
          <w:p>
            <w:r/>
            <w:r>
              <w:t>Time per document</w:t>
            </w:r>
          </w:p>
        </w:tc>
        <w:tc>
          <w:tcPr>
            <w:tcW w:type="dxa" w:w="3009"/>
          </w:tcPr>
          <w:p>
            <w:r/>
            <w:r>
              <w:t>&lt; 3s (median)</w:t>
            </w:r>
          </w:p>
        </w:tc>
        <w:tc>
          <w:tcPr>
            <w:tcW w:type="dxa" w:w="3009"/>
          </w:tcPr>
          <w:p>
            <w:r/>
            <w:r>
              <w:t>Benchmark on 50 files</w:t>
            </w:r>
          </w:p>
        </w:tc>
      </w:tr>
      <w:tr>
        <w:tc>
          <w:tcPr>
            <w:tcW w:type="dxa" w:w="3009"/>
          </w:tcPr>
          <w:p>
            <w:r/>
            <w:r>
              <w:t>Manual formatting saved</w:t>
            </w:r>
          </w:p>
        </w:tc>
        <w:tc>
          <w:tcPr>
            <w:tcW w:type="dxa" w:w="3009"/>
          </w:tcPr>
          <w:p>
            <w:r/>
            <w:r>
              <w:t>&gt; 80%</w:t>
            </w:r>
          </w:p>
        </w:tc>
        <w:tc>
          <w:tcPr>
            <w:tcW w:type="dxa" w:w="3009"/>
          </w:tcPr>
          <w:p>
            <w:r/>
            <w:r>
              <w:t>User survey</w:t>
            </w:r>
          </w:p>
        </w:tc>
      </w:tr>
      <w:tr>
        <w:tc>
          <w:tcPr>
            <w:tcW w:type="dxa" w:w="3009"/>
          </w:tcPr>
          <w:p>
            <w:r/>
            <w:r>
              <w:t>Table fidelity</w:t>
            </w:r>
          </w:p>
        </w:tc>
        <w:tc>
          <w:tcPr>
            <w:tcW w:type="dxa" w:w="3009"/>
          </w:tcPr>
          <w:p>
            <w:r/>
            <w:r>
              <w:t>&gt; 95%</w:t>
            </w:r>
          </w:p>
        </w:tc>
        <w:tc>
          <w:tcPr>
            <w:tcW w:type="dxa" w:w="3009"/>
          </w:tcPr>
          <w:p>
            <w:r/>
            <w:r>
              <w:t>Automated XML checks</w:t>
            </w:r>
          </w:p>
        </w:tc>
      </w:tr>
    </w:tbl>
    <w:p>
      <w:pPr>
        <w:pStyle w:val="Heading2"/>
      </w:pPr>
      <w:r>
        <w:t>Open Questions</w:t>
      </w:r>
    </w:p>
    <w:p>
      <w:pPr>
        <w:pStyle w:val="ListNumber"/>
        <w:numPr>
          <w:ilvl w:val="0"/>
          <w:numId w:val="1"/>
        </w:numPr>
      </w:pPr>
      <w:r>
        <w:t>Should we support custom CSS-like styling via a config file?</w:t>
      </w:r>
    </w:p>
    <w:p>
      <w:pPr>
        <w:pStyle w:val="ListNumber"/>
        <w:numPr>
          <w:ilvl w:val="0"/>
          <w:numId w:val="1"/>
        </w:numPr>
      </w:pPr>
      <w:r>
        <w:t>Is PyPI distribution worth the naming conflict (`md-to-docx` taken)?</w:t>
      </w:r>
    </w:p>
    <w:p>
      <w:pPr>
        <w:pStyle w:val="ListNumber"/>
        <w:numPr>
          <w:ilvl w:val="0"/>
          <w:numId w:val="1"/>
        </w:numPr>
      </w:pPr>
      <w:r>
        <w:t>When should we introduce a web playground vs. staying CLI-first?</w:t>
      </w:r>
    </w:p>
    <w:p>
      <w:pPr>
        <w:pStyle w:val="Heading2"/>
      </w:pPr>
      <w:r>
        <w:t>Recommendation</w:t>
      </w:r>
    </w:p>
    <w:p>
      <w:r>
        <w:t>Proceed with Phase 1 productization (README, examples, GitHub hygiene) before investing in the Document AST. The current pandoc pipeline is sufficient for 90% of use cases.</w:t>
      </w:r>
    </w:p>
    <w:p>
      <w:pPr>
        <w:pStyle w:val="Heading2"/>
      </w:pPr>
      <w:r>
        <w:t>Appendix: Sample Conversion</w:t>
      </w:r>
    </w:p>
    <w:p>
      <w:pPr>
        <w:pStyle w:val="MDCodeBlock"/>
      </w:pPr>
    </w:p>
    <w:p>
      <w:pPr>
        <w:pStyle w:val="MDCodeBlock"/>
      </w:pPr>
      <w:r>
        <w:t>./bin/convert proposal.md</w:t>
      </w:r>
    </w:p>
    <w:p>
      <w:pPr>
        <w:pStyle w:val="MDCodeBlock"/>
      </w:pPr>
    </w:p>
    <w:p>
      <w:pPr>
        <w:pStyle w:val="MDCodeBlock"/>
      </w:pPr>
      <w:r>
        <w:t># → proposal.docx (alongside source)</w:t>
      </w:r>
    </w:p>
    <w:p>
      <w:r>
        <w:t>No pip install required when using the bundled `bin/convert` wrapper.</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separate"/>
    </w:r>
    <w:r>
      <w:t>1</w:t>
    </w:r>
    <w:r>
      <w:fldChar w:fldCharType="end"/>
    </w:r>
    <w:r>
      <w:fldChar w:fldCharType="begin"/>
    </w:r>
    <w:r>
      <w:instrText xml:space="preserve">PAGE</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pPr>
    <w:rPr>
      <w:rFonts w:ascii="Calibri" w:hAnsi="Calibri" w:cs="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cs="Calibri" w:eastAsia="Microsoft YaHei"/>
      <w:b/>
      <w:bCs/>
      <w:color w:val="111827"/>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cs="Calibri" w:eastAsia="Microsoft YaHei"/>
      <w:b/>
      <w:bCs/>
      <w:color w:val="111827"/>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cs="Calibri" w:eastAsia="Microsoft YaHei"/>
      <w:b/>
      <w:bCs/>
      <w:color w:val="111827"/>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cs="Calibri" w:eastAsia="Microsoft YaHei"/>
      <w:b/>
      <w:bCs/>
      <w:i/>
      <w:iCs/>
      <w:color w:val="111827"/>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s="Calibri" w:eastAsia="Microsoft YaHei"/>
      <w:b/>
      <w:color w:val="111827"/>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cs="Calibri" w:eastAsia="Microsoft YaHei"/>
      <w:b/>
      <w:i/>
      <w:iCs/>
      <w:color w:val="111827"/>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cs="Calibri" w:eastAsia="Microsoft YaHei"/>
      <w:b/>
      <w:bCs/>
      <w:i/>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DCodeBlock">
    <w:name w:val="MDCodeBlock"/>
    <w:pPr>
      <w:spacing w:before="120" w:after="120"/>
      <w:shd w:fill="F5F5F5"/>
      <w:shd w:fill="F5F5F5"/>
    </w:pPr>
    <w:rPr>
      <w:rFonts w:ascii="Consolas" w:hAnsi="Consolas" w:cs="Consolas" w:eastAsia="Microsoft YaHe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