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微服务架构升级技术方案</w:t>
      </w:r>
    </w:p>
    <w:p>
      <w:pPr>
        <w:pStyle w:val="Heading1"/>
      </w:pPr>
      <w:r>
        <w:t>Contents</w:t>
      </w:r>
    </w:p>
    <w:p>
      <w:r>
        <w:fldChar w:fldCharType="begin"/>
      </w:r>
      <w:r>
        <w:instrText xml:space="preserve">TOC \o "1-3" \h \z \u</w:instrText>
      </w:r>
      <w:r>
        <w:fldChar w:fldCharType="separate"/>
      </w:r>
      <w:r>
        <w:t>Table of Contents</w:t>
      </w:r>
      <w:r>
        <w:fldChar w:fldCharType="end"/>
      </w:r>
    </w:p>
    <w:p>
      <w:pPr>
        <w:pStyle w:val="Heading1"/>
      </w:pPr>
      <w:r>
        <w:t>微服务架构升级技术方案</w:t>
      </w:r>
    </w:p>
    <w:p>
      <w:r>
        <w:t>**版本：** v1.0&lt;br&gt;**日期：** 2026年9月2日&lt;br&gt;**编制：** 架构组</w:t>
      </w:r>
    </w:p>
    <w:p>
      <w:pPr>
        <w:pStyle w:val="Heading2"/>
      </w:pPr>
      <w:r>
        <w:t>1. 项目背景</w:t>
      </w:r>
    </w:p>
    <w:p>
      <w:r>
        <w:t>随着业务规模扩大，现有单体应用已无法满足高并发和快速迭代的需求。本次升级旨在将核心模块拆分为独立微服务，提升系统可扩展性和团队开发效率。</w:t>
        <w:br/>
        <w:t>当前系统日均请求量超过 500 万，峰值 QPS 达到 8000。数据库连接池频繁耗尽，部署周期长达 2 小时。</w:t>
      </w:r>
    </w:p>
    <w:p>
      <w:pPr>
        <w:pStyle w:val="Heading2"/>
      </w:pPr>
      <w:r>
        <w:t>2. 现状分析</w:t>
      </w:r>
    </w:p>
    <w:p>
      <w:pPr>
        <w:pStyle w:val="Heading3"/>
      </w:pPr>
      <w:r>
        <w:t>2.1 技术栈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</w:rPr>
            </w:r>
            <w:r>
              <w:rPr>
                <w:b/>
              </w:rPr>
              <w:t>组件</w:t>
            </w:r>
          </w:p>
        </w:tc>
        <w:tc>
          <w:tcPr>
            <w:tcW w:type="dxa" w:w="3009"/>
          </w:tcPr>
          <w:p>
            <w:r>
              <w:rPr>
                <w:b/>
              </w:rPr>
            </w:r>
            <w:r>
              <w:rPr>
                <w:b/>
              </w:rPr>
              <w:t>当前版本</w:t>
            </w:r>
          </w:p>
        </w:tc>
        <w:tc>
          <w:tcPr>
            <w:tcW w:type="dxa" w:w="3009"/>
          </w:tcPr>
          <w:p>
            <w:r>
              <w:rPr>
                <w:b/>
              </w:rPr>
            </w:r>
            <w:r>
              <w:rPr>
                <w:b/>
              </w:rPr>
              <w:t>问题</w:t>
            </w:r>
          </w:p>
        </w:tc>
      </w:tr>
      <w:tr>
        <w:tc>
          <w:tcPr>
            <w:tcW w:type="dxa" w:w="3009"/>
          </w:tcPr>
          <w:p>
            <w:r/>
            <w:r>
              <w:t>应用框架</w:t>
            </w:r>
          </w:p>
        </w:tc>
        <w:tc>
          <w:tcPr>
            <w:tcW w:type="dxa" w:w="3009"/>
          </w:tcPr>
          <w:p>
            <w:r/>
            <w:r>
              <w:t>Spring Boot 2.7</w:t>
            </w:r>
          </w:p>
        </w:tc>
        <w:tc>
          <w:tcPr>
            <w:tcW w:type="dxa" w:w="3009"/>
          </w:tcPr>
          <w:p>
            <w:r/>
            <w:r>
              <w:t>单体部署，耦合严重</w:t>
            </w:r>
          </w:p>
        </w:tc>
      </w:tr>
      <w:tr>
        <w:tc>
          <w:tcPr>
            <w:tcW w:type="dxa" w:w="3009"/>
          </w:tcPr>
          <w:p>
            <w:r/>
            <w:r>
              <w:t>数据库</w:t>
            </w:r>
          </w:p>
        </w:tc>
        <w:tc>
          <w:tcPr>
            <w:tcW w:type="dxa" w:w="3009"/>
          </w:tcPr>
          <w:p>
            <w:r/>
            <w:r>
              <w:t>MySQL 5.7 单实例</w:t>
            </w:r>
          </w:p>
        </w:tc>
        <w:tc>
          <w:tcPr>
            <w:tcW w:type="dxa" w:w="3009"/>
          </w:tcPr>
          <w:p>
            <w:r/>
            <w:r>
              <w:t>读写瓶颈</w:t>
            </w:r>
          </w:p>
        </w:tc>
      </w:tr>
      <w:tr>
        <w:tc>
          <w:tcPr>
            <w:tcW w:type="dxa" w:w="3009"/>
          </w:tcPr>
          <w:p>
            <w:r/>
            <w:r>
              <w:t>缓存</w:t>
            </w:r>
          </w:p>
        </w:tc>
        <w:tc>
          <w:tcPr>
            <w:tcW w:type="dxa" w:w="3009"/>
          </w:tcPr>
          <w:p>
            <w:r/>
            <w:r>
              <w:t>Redis 6.0 单节点</w:t>
            </w:r>
          </w:p>
        </w:tc>
        <w:tc>
          <w:tcPr>
            <w:tcW w:type="dxa" w:w="3009"/>
          </w:tcPr>
          <w:p>
            <w:r/>
            <w:r>
              <w:t>无高可用</w:t>
            </w:r>
          </w:p>
        </w:tc>
      </w:tr>
      <w:tr>
        <w:tc>
          <w:tcPr>
            <w:tcW w:type="dxa" w:w="3009"/>
          </w:tcPr>
          <w:p>
            <w:r/>
            <w:r>
              <w:t>消息队列</w:t>
            </w:r>
          </w:p>
        </w:tc>
        <w:tc>
          <w:tcPr>
            <w:tcW w:type="dxa" w:w="3009"/>
          </w:tcPr>
          <w:p>
            <w:r/>
            <w:r>
              <w:t>无</w:t>
            </w:r>
          </w:p>
        </w:tc>
        <w:tc>
          <w:tcPr>
            <w:tcW w:type="dxa" w:w="3009"/>
          </w:tcPr>
          <w:p>
            <w:r/>
            <w:r>
              <w:t>异步处理缺失</w:t>
            </w:r>
          </w:p>
        </w:tc>
      </w:tr>
      <w:tr>
        <w:tc>
          <w:tcPr>
            <w:tcW w:type="dxa" w:w="3009"/>
          </w:tcPr>
          <w:p>
            <w:r/>
            <w:r>
              <w:t>文档格式</w:t>
            </w:r>
          </w:p>
        </w:tc>
        <w:tc>
          <w:tcPr>
            <w:tcW w:type="dxa" w:w="3009"/>
          </w:tcPr>
          <w:p>
            <w:r/>
            <w:r>
              <w:t>Markdown 手写</w:t>
            </w:r>
          </w:p>
        </w:tc>
        <w:tc>
          <w:tcPr>
            <w:tcW w:type="dxa" w:w="3009"/>
          </w:tcPr>
          <w:p>
            <w:r/>
            <w:r>
              <w:t>交付需转 Word</w:t>
            </w:r>
          </w:p>
        </w:tc>
      </w:tr>
    </w:tbl>
    <w:p>
      <w:pPr>
        <w:pStyle w:val="Heading3"/>
      </w:pPr>
      <w:r>
        <w:t>2.2 痛点总结</w:t>
      </w:r>
    </w:p>
    <w:p>
      <w:pPr>
        <w:pStyle w:val="ListNumber"/>
        <w:numPr>
          <w:ilvl w:val="0"/>
          <w:numId w:val="1"/>
        </w:numPr>
      </w:pPr>
      <w:r>
        <w:t>**部署风险高** — 任何小改动都需要全量发布</w:t>
      </w:r>
    </w:p>
    <w:p>
      <w:pPr>
        <w:pStyle w:val="ListNumber"/>
        <w:numPr>
          <w:ilvl w:val="0"/>
          <w:numId w:val="1"/>
        </w:numPr>
      </w:pPr>
      <w:r>
        <w:t>**扩展困难** — 无法针对热点模块独立扩容</w:t>
      </w:r>
    </w:p>
    <w:p>
      <w:pPr>
        <w:pStyle w:val="ListNumber"/>
        <w:numPr>
          <w:ilvl w:val="0"/>
          <w:numId w:val="1"/>
        </w:numPr>
      </w:pPr>
      <w:r>
        <w:t>**团队协作** — 多团队修改同一代码库，冲突频繁</w:t>
      </w:r>
    </w:p>
    <w:p>
      <w:pPr>
        <w:pStyle w:val="ListNumber"/>
        <w:numPr>
          <w:ilvl w:val="0"/>
          <w:numId w:val="1"/>
        </w:numPr>
      </w:pPr>
      <w:r>
        <w:t>**文档交付** — 技术方案需 Word 格式提交审批</w:t>
      </w:r>
    </w:p>
    <w:p>
      <w:pPr>
        <w:pStyle w:val="Heading2"/>
      </w:pPr>
      <w:r>
        <w:t>3. 目标架构</w:t>
      </w:r>
    </w:p>
    <w:p>
      <w:pPr>
        <w:pStyle w:val="Heading3"/>
      </w:pPr>
      <w:r>
        <w:t>3.1 服务拆分</w:t>
      </w:r>
    </w:p>
    <w:p>
      <w:pPr>
        <w:pStyle w:val="MDCodeBlock"/>
      </w:pPr>
    </w:p>
    <w:p>
      <w:pPr>
        <w:pStyle w:val="MDCodeBlock"/>
      </w:pPr>
      <w:r>
        <w:t xml:space="preserve">                    ┌─────────────┐</w:t>
      </w:r>
    </w:p>
    <w:p>
      <w:pPr>
        <w:pStyle w:val="MDCodeBlock"/>
      </w:pPr>
      <w:r>
        <w:t xml:space="preserve">                    │  API 网关    │</w:t>
      </w:r>
    </w:p>
    <w:p>
      <w:pPr>
        <w:pStyle w:val="MDCodeBlock"/>
      </w:pPr>
      <w:r>
        <w:t xml:space="preserve">                    └──────┬──────┘</w:t>
      </w:r>
    </w:p>
    <w:p>
      <w:pPr>
        <w:pStyle w:val="MDCodeBlock"/>
      </w:pPr>
      <w:r>
        <w:t xml:space="preserve">           ┌───────────────┼───────────────┐</w:t>
      </w:r>
    </w:p>
    <w:p>
      <w:pPr>
        <w:pStyle w:val="MDCodeBlock"/>
      </w:pPr>
      <w:r>
        <w:t xml:space="preserve">           ▼               ▼               ▼</w:t>
      </w:r>
    </w:p>
    <w:p>
      <w:pPr>
        <w:pStyle w:val="MDCodeBlock"/>
      </w:pPr>
      <w:r>
        <w:t xml:space="preserve">    ┌────────────┐  ┌────────────┐  ┌────────────┐</w:t>
      </w:r>
    </w:p>
    <w:p>
      <w:pPr>
        <w:pStyle w:val="MDCodeBlock"/>
      </w:pPr>
      <w:r>
        <w:t xml:space="preserve">    │ 用户服务    │  │ 订单服务    │  │ 文档服务    │</w:t>
      </w:r>
    </w:p>
    <w:p>
      <w:pPr>
        <w:pStyle w:val="MDCodeBlock"/>
      </w:pPr>
      <w:r>
        <w:t xml:space="preserve">    └────────────┘  └────────────┘  └────────────┘</w:t>
      </w:r>
    </w:p>
    <w:p>
      <w:pPr>
        <w:pStyle w:val="MDCodeBlock"/>
      </w:pPr>
      <w:r>
        <w:t xml:space="preserve">           │               │               │</w:t>
      </w:r>
    </w:p>
    <w:p>
      <w:pPr>
        <w:pStyle w:val="MDCodeBlock"/>
      </w:pPr>
      <w:r>
        <w:t xml:space="preserve">           ▼               ▼               ▼</w:t>
      </w:r>
    </w:p>
    <w:p>
      <w:pPr>
        <w:pStyle w:val="MDCodeBlock"/>
      </w:pPr>
      <w:r>
        <w:t xml:space="preserve">    ┌────────────┐  ┌────────────┐  ┌────────────┐</w:t>
      </w:r>
    </w:p>
    <w:p>
      <w:pPr>
        <w:pStyle w:val="MDCodeBlock"/>
      </w:pPr>
      <w:r>
        <w:t xml:space="preserve">    │ MySQL 8.0  │  │ MySQL 8.0  │  │ MinIO      │</w:t>
      </w:r>
    </w:p>
    <w:p>
      <w:pPr>
        <w:pStyle w:val="MDCodeBlock"/>
      </w:pPr>
      <w:r>
        <w:t xml:space="preserve">    └────────────┘  └────────────┘  └────────────┘</w:t>
      </w:r>
    </w:p>
    <w:p>
      <w:pPr>
        <w:pStyle w:val="Heading3"/>
      </w:pPr>
      <w:r>
        <w:t>3.2 文档服务设计</w:t>
      </w:r>
    </w:p>
    <w:p>
      <w:r>
        <w:t>文档服务负责 Markdown 到 Word 的编译转换：</w:t>
      </w:r>
    </w:p>
    <w:p>
      <w:pPr>
        <w:pStyle w:val="MDCodeBlock"/>
      </w:pPr>
    </w:p>
    <w:p>
      <w:pPr>
        <w:pStyle w:val="MDCodeBlock"/>
      </w:pPr>
      <w:r>
        <w:t># 文档编译核心逻辑</w:t>
      </w:r>
    </w:p>
    <w:p>
      <w:pPr>
        <w:pStyle w:val="MDCodeBlock"/>
      </w:pPr>
      <w:r>
        <w:t>def compile_document(source_path: str) -&gt; str:</w:t>
      </w:r>
    </w:p>
    <w:p>
      <w:pPr>
        <w:pStyle w:val="MDCodeBlock"/>
      </w:pPr>
      <w:r>
        <w:t xml:space="preserve">  """将 Markdown 编译为 DOCX，不修改源文件。"""</w:t>
      </w:r>
    </w:p>
    <w:p>
      <w:pPr>
        <w:pStyle w:val="MDCodeBlock"/>
      </w:pPr>
      <w:r>
        <w:t xml:space="preserve">  normalized = normalizer.process(read(source_path))</w:t>
      </w:r>
    </w:p>
    <w:p>
      <w:pPr>
        <w:pStyle w:val="MDCodeBlock"/>
      </w:pPr>
      <w:r>
        <w:t xml:space="preserve">  output = pandoc.convert(normalized, template="reference-wecom.docx")</w:t>
      </w:r>
    </w:p>
    <w:p>
      <w:pPr>
        <w:pStyle w:val="MDCodeBlock"/>
      </w:pPr>
      <w:r>
        <w:t xml:space="preserve">  return output</w:t>
      </w:r>
    </w:p>
    <w:p>
      <w:pPr>
        <w:pStyle w:val="Heading3"/>
      </w:pPr>
      <w:r>
        <w:t>3.3 技术选型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</w:rPr>
            </w:r>
            <w:r>
              <w:rPr>
                <w:b/>
              </w:rPr>
              <w:t>类别</w:t>
            </w:r>
          </w:p>
        </w:tc>
        <w:tc>
          <w:tcPr>
            <w:tcW w:type="dxa" w:w="3009"/>
          </w:tcPr>
          <w:p>
            <w:r>
              <w:rPr>
                <w:b/>
              </w:rPr>
            </w:r>
            <w:r>
              <w:rPr>
                <w:b/>
              </w:rPr>
              <w:t>选型</w:t>
            </w:r>
          </w:p>
        </w:tc>
        <w:tc>
          <w:tcPr>
            <w:tcW w:type="dxa" w:w="3009"/>
          </w:tcPr>
          <w:p>
            <w:r>
              <w:rPr>
                <w:b/>
              </w:rPr>
            </w:r>
            <w:r>
              <w:rPr>
                <w:b/>
              </w:rPr>
              <w:t>理由</w:t>
            </w:r>
          </w:p>
        </w:tc>
      </w:tr>
      <w:tr>
        <w:tc>
          <w:tcPr>
            <w:tcW w:type="dxa" w:w="3009"/>
          </w:tcPr>
          <w:p>
            <w:r/>
            <w:r>
              <w:t>服务框架</w:t>
            </w:r>
          </w:p>
        </w:tc>
        <w:tc>
          <w:tcPr>
            <w:tcW w:type="dxa" w:w="3009"/>
          </w:tcPr>
          <w:p>
            <w:r/>
            <w:r>
              <w:t>Spring Cloud 2023</w:t>
            </w:r>
          </w:p>
        </w:tc>
        <w:tc>
          <w:tcPr>
            <w:tcW w:type="dxa" w:w="3009"/>
          </w:tcPr>
          <w:p>
            <w:r/>
            <w:r>
              <w:t>团队熟悉，生态成熟</w:t>
            </w:r>
          </w:p>
        </w:tc>
      </w:tr>
      <w:tr>
        <w:tc>
          <w:tcPr>
            <w:tcW w:type="dxa" w:w="3009"/>
          </w:tcPr>
          <w:p>
            <w:r/>
            <w:r>
              <w:t>注册中心</w:t>
            </w:r>
          </w:p>
        </w:tc>
        <w:tc>
          <w:tcPr>
            <w:tcW w:type="dxa" w:w="3009"/>
          </w:tcPr>
          <w:p>
            <w:r/>
            <w:r>
              <w:t>Nacos 2.x</w:t>
            </w:r>
          </w:p>
        </w:tc>
        <w:tc>
          <w:tcPr>
            <w:tcW w:type="dxa" w:w="3009"/>
          </w:tcPr>
          <w:p>
            <w:r/>
            <w:r>
              <w:t>配置+注册一体化</w:t>
            </w:r>
          </w:p>
        </w:tc>
      </w:tr>
      <w:tr>
        <w:tc>
          <w:tcPr>
            <w:tcW w:type="dxa" w:w="3009"/>
          </w:tcPr>
          <w:p>
            <w:r/>
            <w:r>
              <w:t>网关</w:t>
            </w:r>
          </w:p>
        </w:tc>
        <w:tc>
          <w:tcPr>
            <w:tcW w:type="dxa" w:w="3009"/>
          </w:tcPr>
          <w:p>
            <w:r/>
            <w:r>
              <w:t>Spring Cloud Gateway</w:t>
            </w:r>
          </w:p>
        </w:tc>
        <w:tc>
          <w:tcPr>
            <w:tcW w:type="dxa" w:w="3009"/>
          </w:tcPr>
          <w:p>
            <w:r/>
            <w:r>
              <w:t>与现有技术栈一致</w:t>
            </w:r>
          </w:p>
        </w:tc>
      </w:tr>
      <w:tr>
        <w:tc>
          <w:tcPr>
            <w:tcW w:type="dxa" w:w="3009"/>
          </w:tcPr>
          <w:p>
            <w:r/>
            <w:r>
              <w:t>消息队列</w:t>
            </w:r>
          </w:p>
        </w:tc>
        <w:tc>
          <w:tcPr>
            <w:tcW w:type="dxa" w:w="3009"/>
          </w:tcPr>
          <w:p>
            <w:r/>
            <w:r>
              <w:t>RocketMQ 5.x</w:t>
            </w:r>
          </w:p>
        </w:tc>
        <w:tc>
          <w:tcPr>
            <w:tcW w:type="dxa" w:w="3009"/>
          </w:tcPr>
          <w:p>
            <w:r/>
            <w:r>
              <w:t>金融级可靠性</w:t>
            </w:r>
          </w:p>
        </w:tc>
      </w:tr>
      <w:tr>
        <w:tc>
          <w:tcPr>
            <w:tcW w:type="dxa" w:w="3009"/>
          </w:tcPr>
          <w:p>
            <w:r/>
            <w:r>
              <w:t>文档编译</w:t>
            </w:r>
          </w:p>
        </w:tc>
        <w:tc>
          <w:tcPr>
            <w:tcW w:type="dxa" w:w="3009"/>
          </w:tcPr>
          <w:p>
            <w:r/>
            <w:r>
              <w:t>md-to-docx</w:t>
            </w:r>
          </w:p>
        </w:tc>
        <w:tc>
          <w:tcPr>
            <w:tcW w:type="dxa" w:w="3009"/>
          </w:tcPr>
          <w:p>
            <w:r/>
            <w:r>
              <w:t>开源，支持中文排版</w:t>
            </w:r>
          </w:p>
        </w:tc>
      </w:tr>
      <w:tr>
        <w:tc>
          <w:tcPr>
            <w:tcW w:type="dxa" w:w="3009"/>
          </w:tcPr>
          <w:p>
            <w:r/>
            <w:r>
              <w:t>容器编排</w:t>
            </w:r>
          </w:p>
        </w:tc>
        <w:tc>
          <w:tcPr>
            <w:tcW w:type="dxa" w:w="3009"/>
          </w:tcPr>
          <w:p>
            <w:r/>
            <w:r>
              <w:t>Kubernetes 1.28</w:t>
            </w:r>
          </w:p>
        </w:tc>
        <w:tc>
          <w:tcPr>
            <w:tcW w:type="dxa" w:w="3009"/>
          </w:tcPr>
          <w:p>
            <w:r/>
            <w:r>
              <w:t>已有运维能力</w:t>
            </w:r>
          </w:p>
        </w:tc>
      </w:tr>
    </w:tbl>
    <w:p>
      <w:pPr>
        <w:pStyle w:val="Heading2"/>
      </w:pPr>
      <w:r>
        <w:t>4. 实施计划</w:t>
      </w:r>
    </w:p>
    <w:p>
      <w:pPr>
        <w:pStyle w:val="Heading3"/>
      </w:pPr>
      <w:r>
        <w:t>4.1 阶段划分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b/>
              </w:rPr>
            </w:r>
            <w:r>
              <w:rPr>
                <w:b/>
              </w:rPr>
              <w:t>阶段</w:t>
            </w:r>
          </w:p>
        </w:tc>
        <w:tc>
          <w:tcPr>
            <w:tcW w:type="dxa" w:w="2256"/>
          </w:tcPr>
          <w:p>
            <w:r>
              <w:rPr>
                <w:b/>
              </w:rPr>
            </w:r>
            <w:r>
              <w:rPr>
                <w:b/>
              </w:rPr>
              <w:t>时间</w:t>
            </w:r>
          </w:p>
        </w:tc>
        <w:tc>
          <w:tcPr>
            <w:tcW w:type="dxa" w:w="2256"/>
          </w:tcPr>
          <w:p>
            <w:r>
              <w:rPr>
                <w:b/>
              </w:rPr>
            </w:r>
            <w:r>
              <w:rPr>
                <w:b/>
              </w:rPr>
              <w:t>内容</w:t>
            </w:r>
          </w:p>
        </w:tc>
        <w:tc>
          <w:tcPr>
            <w:tcW w:type="dxa" w:w="2256"/>
          </w:tcPr>
          <w:p>
            <w:r>
              <w:rPr>
                <w:b/>
              </w:rPr>
            </w:r>
            <w:r>
              <w:rPr>
                <w:b/>
              </w:rPr>
              <w:t>里程碑</w:t>
            </w:r>
          </w:p>
        </w:tc>
      </w:tr>
      <w:tr>
        <w:tc>
          <w:tcPr>
            <w:tcW w:type="dxa" w:w="2256"/>
          </w:tcPr>
          <w:p>
            <w:r/>
            <w:r>
              <w:t>第一阶段</w:t>
            </w:r>
          </w:p>
        </w:tc>
        <w:tc>
          <w:tcPr>
            <w:tcW w:type="dxa" w:w="2256"/>
          </w:tcPr>
          <w:p>
            <w:r/>
            <w:r>
              <w:t>第1-4周</w:t>
            </w:r>
          </w:p>
        </w:tc>
        <w:tc>
          <w:tcPr>
            <w:tcW w:type="dxa" w:w="2256"/>
          </w:tcPr>
          <w:p>
            <w:r/>
            <w:r>
              <w:t>用户服务拆分</w:t>
            </w:r>
          </w:p>
        </w:tc>
        <w:tc>
          <w:tcPr>
            <w:tcW w:type="dxa" w:w="2256"/>
          </w:tcPr>
          <w:p>
            <w:r/>
            <w:r>
              <w:t>用户模块独立部署</w:t>
            </w:r>
          </w:p>
        </w:tc>
      </w:tr>
      <w:tr>
        <w:tc>
          <w:tcPr>
            <w:tcW w:type="dxa" w:w="2256"/>
          </w:tcPr>
          <w:p>
            <w:r/>
            <w:r>
              <w:t>第二阶段</w:t>
            </w:r>
          </w:p>
        </w:tc>
        <w:tc>
          <w:tcPr>
            <w:tcW w:type="dxa" w:w="2256"/>
          </w:tcPr>
          <w:p>
            <w:r/>
            <w:r>
              <w:t>第5-8周</w:t>
            </w:r>
          </w:p>
        </w:tc>
        <w:tc>
          <w:tcPr>
            <w:tcW w:type="dxa" w:w="2256"/>
          </w:tcPr>
          <w:p>
            <w:r/>
            <w:r>
              <w:t>订单服务拆分</w:t>
            </w:r>
          </w:p>
        </w:tc>
        <w:tc>
          <w:tcPr>
            <w:tcW w:type="dxa" w:w="2256"/>
          </w:tcPr>
          <w:p>
            <w:r/>
            <w:r>
              <w:t>订单模块独立部署</w:t>
            </w:r>
          </w:p>
        </w:tc>
      </w:tr>
      <w:tr>
        <w:tc>
          <w:tcPr>
            <w:tcW w:type="dxa" w:w="2256"/>
          </w:tcPr>
          <w:p>
            <w:r/>
            <w:r>
              <w:t>第三阶段</w:t>
            </w:r>
          </w:p>
        </w:tc>
        <w:tc>
          <w:tcPr>
            <w:tcW w:type="dxa" w:w="2256"/>
          </w:tcPr>
          <w:p>
            <w:r/>
            <w:r>
              <w:t>第9-12周</w:t>
            </w:r>
          </w:p>
        </w:tc>
        <w:tc>
          <w:tcPr>
            <w:tcW w:type="dxa" w:w="2256"/>
          </w:tcPr>
          <w:p>
            <w:r/>
            <w:r>
              <w:t>文档服务上线</w:t>
            </w:r>
          </w:p>
        </w:tc>
        <w:tc>
          <w:tcPr>
            <w:tcW w:type="dxa" w:w="2256"/>
          </w:tcPr>
          <w:p>
            <w:r/>
            <w:r>
              <w:t>Markdown→Word API</w:t>
            </w:r>
          </w:p>
        </w:tc>
      </w:tr>
      <w:tr>
        <w:tc>
          <w:tcPr>
            <w:tcW w:type="dxa" w:w="2256"/>
          </w:tcPr>
          <w:p>
            <w:r/>
            <w:r>
              <w:t>第四阶段</w:t>
            </w:r>
          </w:p>
        </w:tc>
        <w:tc>
          <w:tcPr>
            <w:tcW w:type="dxa" w:w="2256"/>
          </w:tcPr>
          <w:p>
            <w:r/>
            <w:r>
              <w:t>第13-16周</w:t>
            </w:r>
          </w:p>
        </w:tc>
        <w:tc>
          <w:tcPr>
            <w:tcW w:type="dxa" w:w="2256"/>
          </w:tcPr>
          <w:p>
            <w:r/>
            <w:r>
              <w:t>全量切换</w:t>
            </w:r>
          </w:p>
        </w:tc>
        <w:tc>
          <w:tcPr>
            <w:tcW w:type="dxa" w:w="2256"/>
          </w:tcPr>
          <w:p>
            <w:r/>
            <w:r>
              <w:t>单体下线</w:t>
            </w:r>
          </w:p>
        </w:tc>
      </w:tr>
    </w:tbl>
    <w:p>
      <w:pPr>
        <w:pStyle w:val="Heading3"/>
      </w:pPr>
      <w:r>
        <w:t>4.2 风险与应对</w:t>
      </w:r>
    </w:p>
    <w:p>
      <w:pPr>
        <w:ind w:left="720"/>
      </w:pPr>
      <w:r>
        <w:t>**注意：** 数据库拆分是最大风险点，建议采用绞杀者模式（Strangler Fig）逐步迁移。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</w:rPr>
            </w:r>
            <w:r>
              <w:rPr>
                <w:b/>
              </w:rPr>
              <w:t>风险</w:t>
            </w:r>
          </w:p>
        </w:tc>
        <w:tc>
          <w:tcPr>
            <w:tcW w:type="dxa" w:w="3009"/>
          </w:tcPr>
          <w:p>
            <w:r>
              <w:rPr>
                <w:b/>
              </w:rPr>
            </w:r>
            <w:r>
              <w:rPr>
                <w:b/>
              </w:rPr>
              <w:t>等级</w:t>
            </w:r>
          </w:p>
        </w:tc>
        <w:tc>
          <w:tcPr>
            <w:tcW w:type="dxa" w:w="3009"/>
          </w:tcPr>
          <w:p>
            <w:r>
              <w:rPr>
                <w:b/>
              </w:rPr>
            </w:r>
            <w:r>
              <w:rPr>
                <w:b/>
              </w:rPr>
              <w:t>应对措施</w:t>
            </w:r>
          </w:p>
        </w:tc>
      </w:tr>
      <w:tr>
        <w:tc>
          <w:tcPr>
            <w:tcW w:type="dxa" w:w="3009"/>
          </w:tcPr>
          <w:p>
            <w:r/>
            <w:r>
              <w:t>数据一致性</w:t>
            </w:r>
          </w:p>
        </w:tc>
        <w:tc>
          <w:tcPr>
            <w:tcW w:type="dxa" w:w="3009"/>
          </w:tcPr>
          <w:p>
            <w:r/>
            <w:r>
              <w:t>高</w:t>
            </w:r>
          </w:p>
        </w:tc>
        <w:tc>
          <w:tcPr>
            <w:tcW w:type="dxa" w:w="3009"/>
          </w:tcPr>
          <w:p>
            <w:r/>
            <w:r>
              <w:t>分布式事务（Seata）+ 最终一致性</w:t>
            </w:r>
          </w:p>
        </w:tc>
      </w:tr>
      <w:tr>
        <w:tc>
          <w:tcPr>
            <w:tcW w:type="dxa" w:w="3009"/>
          </w:tcPr>
          <w:p>
            <w:r/>
            <w:r>
              <w:t>服务间延迟</w:t>
            </w:r>
          </w:p>
        </w:tc>
        <w:tc>
          <w:tcPr>
            <w:tcW w:type="dxa" w:w="3009"/>
          </w:tcPr>
          <w:p>
            <w:r/>
            <w:r>
              <w:t>中</w:t>
            </w:r>
          </w:p>
        </w:tc>
        <w:tc>
          <w:tcPr>
            <w:tcW w:type="dxa" w:w="3009"/>
          </w:tcPr>
          <w:p>
            <w:r/>
            <w:r>
              <w:t>熔断降级（Sentinel）</w:t>
            </w:r>
          </w:p>
        </w:tc>
      </w:tr>
      <w:tr>
        <w:tc>
          <w:tcPr>
            <w:tcW w:type="dxa" w:w="3009"/>
          </w:tcPr>
          <w:p>
            <w:r/>
            <w:r>
              <w:t>团队技能</w:t>
            </w:r>
          </w:p>
        </w:tc>
        <w:tc>
          <w:tcPr>
            <w:tcW w:type="dxa" w:w="3009"/>
          </w:tcPr>
          <w:p>
            <w:r/>
            <w:r>
              <w:t>中</w:t>
            </w:r>
          </w:p>
        </w:tc>
        <w:tc>
          <w:tcPr>
            <w:tcW w:type="dxa" w:w="3009"/>
          </w:tcPr>
          <w:p>
            <w:r/>
            <w:r>
              <w:t>培训 + 结对编程</w:t>
            </w:r>
          </w:p>
        </w:tc>
      </w:tr>
      <w:tr>
        <w:tc>
          <w:tcPr>
            <w:tcW w:type="dxa" w:w="3009"/>
          </w:tcPr>
          <w:p>
            <w:r/>
            <w:r>
              <w:t>文档格式</w:t>
            </w:r>
          </w:p>
        </w:tc>
        <w:tc>
          <w:tcPr>
            <w:tcW w:type="dxa" w:w="3009"/>
          </w:tcPr>
          <w:p>
            <w:r/>
            <w:r>
              <w:t>低</w:t>
            </w:r>
          </w:p>
        </w:tc>
        <w:tc>
          <w:tcPr>
            <w:tcW w:type="dxa" w:w="3009"/>
          </w:tcPr>
          <w:p>
            <w:r/>
            <w:r>
              <w:t>md-to-docx 自动化编译</w:t>
            </w:r>
          </w:p>
        </w:tc>
      </w:tr>
    </w:tbl>
    <w:p>
      <w:pPr>
        <w:pStyle w:val="Heading2"/>
      </w:pPr>
      <w:r>
        <w:t>5. 资源需求</w:t>
      </w:r>
    </w:p>
    <w:p>
      <w:pPr>
        <w:pStyle w:val="ListBullet"/>
        <w:numPr>
          <w:ilvl w:val="0"/>
          <w:numId w:val="2"/>
        </w:numPr>
      </w:pPr>
      <w:r>
        <w:t>后端工程师 × 4（12周）</w:t>
      </w:r>
    </w:p>
    <w:p>
      <w:pPr>
        <w:pStyle w:val="ListBullet"/>
        <w:numPr>
          <w:ilvl w:val="0"/>
          <w:numId w:val="2"/>
        </w:numPr>
      </w:pPr>
      <w:r>
        <w:t>运维工程师 × 2（8周）</w:t>
      </w:r>
    </w:p>
    <w:p>
      <w:pPr>
        <w:pStyle w:val="ListBullet"/>
        <w:numPr>
          <w:ilvl w:val="0"/>
          <w:numId w:val="2"/>
        </w:numPr>
      </w:pPr>
      <w:r>
        <w:t>测试工程师 × 2（12周）</w:t>
      </w:r>
    </w:p>
    <w:p>
      <w:pPr>
        <w:pStyle w:val="ListBullet"/>
        <w:numPr>
          <w:ilvl w:val="0"/>
          <w:numId w:val="2"/>
        </w:numPr>
      </w:pPr>
      <w:r>
        <w:t>云资源预算：约 15 万元/季度</w:t>
      </w:r>
    </w:p>
    <w:p>
      <w:pPr>
        <w:pStyle w:val="Heading2"/>
      </w:pPr>
      <w:r>
        <w:t>6. 验收标准</w:t>
      </w:r>
    </w:p>
    <w:p>
      <w:pPr>
        <w:pStyle w:val="ListNumber"/>
        <w:numPr>
          <w:ilvl w:val="0"/>
          <w:numId w:val="1"/>
        </w:numPr>
      </w:pPr>
      <w:r>
        <w:t>各微服务可独立部署、独立扩容</w:t>
      </w:r>
    </w:p>
    <w:p>
      <w:pPr>
        <w:pStyle w:val="ListNumber"/>
        <w:numPr>
          <w:ilvl w:val="0"/>
          <w:numId w:val="1"/>
        </w:numPr>
      </w:pPr>
      <w:r>
        <w:t>核心接口 P99 延迟 &lt; 200ms</w:t>
      </w:r>
    </w:p>
    <w:p>
      <w:pPr>
        <w:pStyle w:val="ListNumber"/>
        <w:numPr>
          <w:ilvl w:val="0"/>
          <w:numId w:val="1"/>
        </w:numPr>
      </w:pPr>
      <w:r>
        <w:t>技术方案文档支持一键导出 Word</w:t>
      </w:r>
    </w:p>
    <w:p>
      <w:pPr>
        <w:pStyle w:val="ListNumber"/>
        <w:numPr>
          <w:ilvl w:val="0"/>
          <w:numId w:val="1"/>
        </w:numPr>
      </w:pPr>
      <w:r>
        <w:t>部署时间从 2 小时缩短到 15 分钟</w:t>
      </w:r>
    </w:p>
    <w:p>
      <w:pPr>
        <w:pStyle w:val="Heading2"/>
      </w:pPr>
      <w:r>
        <w:t>7. 总结</w:t>
      </w:r>
    </w:p>
    <w:p>
      <w:r>
        <w:t>本次微服务架构升级是系统演进的必要步骤。通过合理的服务拆分和文档编译自动化，可以显著提升开发效率和交付质量。建议尽快启动第一阶段的用户服务拆分工作。</w:t>
      </w:r>
    </w:p>
    <w:p/>
    <w:p>
      <w:pPr>
        <w:pStyle w:val="ListBullet"/>
        <w:numPr>
          <w:ilvl w:val="0"/>
          <w:numId w:val="2"/>
        </w:numPr>
      </w:pPr>
      <w:r>
        <w:t>本方案使用 md-to-docx 编译为 Word 格式提交审批。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t>微服务架构升级技术方案</w:t>
    </w:r>
    <w:r>
      <w:tab/>
    </w:r>
    <w:r>
      <w:rPr>
        <w:b w:val="0"/>
      </w:rPr>
      <w:t>md-to-docx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/>
    </w:pPr>
    <w:rPr>
      <w:rFonts w:ascii="Calibri" w:hAnsi="Calibri" w:cs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cs="Calibri" w:eastAsia="Microsoft YaHei"/>
      <w:b/>
      <w:bCs/>
      <w:color w:val="111827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cs="Calibri" w:eastAsia="Microsoft YaHei"/>
      <w:b/>
      <w:bCs/>
      <w:color w:val="111827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cs="Calibri" w:eastAsia="Microsoft YaHei"/>
      <w:b/>
      <w:bCs/>
      <w:color w:val="111827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cs="Calibri" w:eastAsia="Microsoft YaHei"/>
      <w:b/>
      <w:bCs/>
      <w:i/>
      <w:iCs/>
      <w:color w:val="111827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 w:cs="Calibri" w:eastAsia="Microsoft YaHei"/>
      <w:b/>
      <w:color w:val="111827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 w:cs="Calibri" w:eastAsia="Microsoft YaHei"/>
      <w:b/>
      <w:i/>
      <w:iCs/>
      <w:color w:val="111827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cs="Calibri" w:eastAsia="Microsoft YaHei"/>
      <w:b/>
      <w:bCs/>
      <w:i/>
      <w:color w:val="595959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DCodeBlock">
    <w:name w:val="MDCodeBlock"/>
    <w:pPr>
      <w:spacing w:before="120" w:after="120"/>
      <w:shd w:fill="F5F5F5"/>
      <w:shd w:fill="F5F5F5"/>
    </w:pPr>
    <w:rPr>
      <w:rFonts w:ascii="Consolas" w:hAnsi="Consolas" w:cs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